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272" w:line="680" w:lineRule="atLeast"/>
        <w:jc w:val="center"/>
      </w:pPr>
      <w:r>
        <w:rPr>
          <w:rFonts w:ascii="宋体"/>
          <w:b/>
          <w:spacing w:val="28"/>
          <w:sz w:val="54"/>
        </w:rPr>
        <w:t>提请</w:t>
      </w:r>
      <w:r>
        <w:rPr>
          <w:rFonts w:ascii="宋体"/>
          <w:b/>
          <w:color w:val="auto"/>
          <w:spacing w:val="28"/>
          <w:sz w:val="54"/>
        </w:rPr>
        <w:t>减刑</w:t>
      </w:r>
      <w:r>
        <w:rPr>
          <w:rFonts w:ascii="宋体"/>
          <w:b/>
          <w:spacing w:val="28"/>
          <w:sz w:val="54"/>
        </w:rPr>
        <w:t>建议书</w:t>
      </w:r>
    </w:p>
    <w:p>
      <w:pPr>
        <w:wordWrap w:val="0"/>
        <w:spacing w:after="277" w:line="442" w:lineRule="atLeast"/>
        <w:ind w:left="566"/>
        <w:jc w:val="righ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（</w:t>
      </w:r>
      <w:r>
        <w:rPr>
          <w:rFonts w:hint="eastAsia" w:ascii="楷体_GB2312" w:eastAsia="楷体_GB2312"/>
          <w:color w:val="auto"/>
          <w:szCs w:val="28"/>
        </w:rPr>
        <w:t>202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6</w:t>
      </w:r>
      <w:r>
        <w:rPr>
          <w:rFonts w:hint="eastAsia" w:ascii="楷体_GB2312" w:eastAsia="楷体_GB2312"/>
          <w:szCs w:val="28"/>
        </w:rPr>
        <w:t>）宛狱</w:t>
      </w:r>
      <w:r>
        <w:rPr>
          <w:rFonts w:hint="eastAsia" w:ascii="楷体_GB2312" w:eastAsia="楷体_GB2312"/>
          <w:color w:val="auto"/>
          <w:szCs w:val="28"/>
        </w:rPr>
        <w:t>减</w:t>
      </w:r>
      <w:r>
        <w:rPr>
          <w:rFonts w:hint="eastAsia" w:ascii="楷体_GB2312" w:eastAsia="楷体_GB2312"/>
          <w:szCs w:val="28"/>
        </w:rPr>
        <w:t>字第80号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60" w:firstLineChars="200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hAnsi="宋体" w:eastAsia="楷体_GB2312"/>
          <w:szCs w:val="28"/>
        </w:rPr>
        <w:t>罪犯</w:t>
      </w:r>
      <w:r>
        <w:rPr>
          <w:rFonts w:hint="eastAsia" w:ascii="楷体_GB2312" w:eastAsia="楷体_GB2312"/>
          <w:szCs w:val="28"/>
        </w:rPr>
        <w:t>梁耀振</w:t>
      </w:r>
      <w:r>
        <w:rPr>
          <w:rFonts w:hint="eastAsia" w:ascii="楷体_GB2312" w:hAnsi="宋体" w:eastAsia="楷体_GB2312"/>
          <w:szCs w:val="28"/>
        </w:rPr>
        <w:t>，男，</w:t>
      </w:r>
      <w:r>
        <w:rPr>
          <w:rFonts w:ascii="楷体_GB2312" w:eastAsia="楷体_GB2312"/>
          <w:szCs w:val="28"/>
        </w:rPr>
        <w:t>1996年7月18日</w:t>
      </w:r>
      <w:r>
        <w:rPr>
          <w:rFonts w:hint="eastAsia" w:ascii="楷体_GB2312" w:eastAsia="楷体_GB2312"/>
          <w:szCs w:val="28"/>
        </w:rPr>
        <w:t>出生</w:t>
      </w:r>
      <w:r>
        <w:rPr>
          <w:rFonts w:hint="eastAsia" w:ascii="楷体_GB2312" w:hAnsi="宋体" w:eastAsia="楷体_GB2312"/>
          <w:szCs w:val="28"/>
        </w:rPr>
        <w:t>，</w:t>
      </w:r>
      <w:r>
        <w:rPr>
          <w:rFonts w:ascii="楷体_GB2312" w:hAnsi="宋体" w:eastAsia="楷体_GB2312"/>
          <w:szCs w:val="28"/>
        </w:rPr>
        <w:t>汉</w:t>
      </w:r>
      <w:r>
        <w:rPr>
          <w:rFonts w:hint="eastAsia" w:ascii="楷体_GB2312" w:hAnsi="宋体" w:eastAsia="楷体_GB2312"/>
          <w:szCs w:val="28"/>
        </w:rPr>
        <w:t>族，户籍所在地</w:t>
      </w:r>
      <w:r>
        <w:rPr>
          <w:rFonts w:ascii="楷体_GB2312" w:eastAsia="楷体_GB2312"/>
          <w:szCs w:val="28"/>
        </w:rPr>
        <w:t>广东省韶关市翁源县</w:t>
      </w:r>
      <w:r>
        <w:rPr>
          <w:rFonts w:hint="eastAsia" w:ascii="楷体_GB2312" w:hAnsi="宋体" w:eastAsia="楷体_GB2312"/>
          <w:szCs w:val="28"/>
        </w:rPr>
        <w:t>。因犯帮助信息网络犯罪活动罪，于2021年12月13日被深圳市龙华区人民法院判处有期徒刑六个月，并处罚金人民币五千元。</w:t>
      </w:r>
      <w:r>
        <w:rPr>
          <w:rFonts w:ascii="楷体_GB2312" w:eastAsia="楷体_GB2312"/>
          <w:szCs w:val="28"/>
        </w:rPr>
        <w:t>2022年12月27日河南省信阳市浉河区人民法院</w:t>
      </w:r>
      <w:r>
        <w:rPr>
          <w:rFonts w:hint="eastAsia" w:ascii="楷体_GB2312" w:eastAsia="楷体_GB2312"/>
          <w:szCs w:val="28"/>
          <w:lang w:val="en-US" w:eastAsia="zh-CN"/>
        </w:rPr>
        <w:t>作出</w:t>
      </w:r>
      <w:r>
        <w:rPr>
          <w:rFonts w:ascii="楷体_GB2312" w:eastAsia="楷体_GB2312"/>
          <w:szCs w:val="28"/>
        </w:rPr>
        <w:t>（2022）豫1502刑初735号</w:t>
      </w:r>
      <w:r>
        <w:rPr>
          <w:rFonts w:hint="eastAsia" w:ascii="楷体_GB2312" w:eastAsia="楷体_GB2312"/>
          <w:szCs w:val="28"/>
        </w:rPr>
        <w:t>刑事</w:t>
      </w:r>
      <w:r>
        <w:rPr>
          <w:rFonts w:hint="eastAsia" w:ascii="楷体_GB2312" w:eastAsia="楷体_GB2312"/>
          <w:szCs w:val="28"/>
          <w:lang w:val="en-US" w:eastAsia="zh-CN"/>
        </w:rPr>
        <w:t>判决，以</w:t>
      </w:r>
      <w:r>
        <w:rPr>
          <w:rFonts w:hint="eastAsia" w:ascii="楷体_GB2312" w:eastAsia="楷体_GB2312"/>
          <w:szCs w:val="28"/>
        </w:rPr>
        <w:t>梁耀振犯</w:t>
      </w:r>
      <w:r>
        <w:rPr>
          <w:rFonts w:ascii="楷体_GB2312" w:eastAsia="楷体_GB2312"/>
          <w:szCs w:val="28"/>
        </w:rPr>
        <w:t>盗窃、帮助信息网络犯罪活动</w:t>
      </w:r>
      <w:r>
        <w:rPr>
          <w:rFonts w:hint="eastAsia" w:ascii="楷体_GB2312" w:eastAsia="楷体_GB2312"/>
          <w:szCs w:val="28"/>
        </w:rPr>
        <w:t>罪，判处有期徒刑</w:t>
      </w:r>
      <w:r>
        <w:rPr>
          <w:rFonts w:ascii="楷体_GB2312" w:eastAsia="楷体_GB2312"/>
          <w:szCs w:val="28"/>
        </w:rPr>
        <w:t>四年二个月</w:t>
      </w:r>
      <w:r>
        <w:rPr>
          <w:rFonts w:hint="eastAsia" w:ascii="楷体_GB2312" w:eastAsia="楷体_GB2312"/>
          <w:szCs w:val="28"/>
          <w:lang w:eastAsia="zh-CN"/>
        </w:rPr>
        <w:t>，并处罚金20000元，责令梁耀振退赔下余</w:t>
      </w:r>
      <w:r>
        <w:rPr>
          <w:rFonts w:hint="eastAsia" w:ascii="楷体_GB2312" w:eastAsia="楷体_GB2312"/>
          <w:szCs w:val="28"/>
          <w:lang w:val="en-US" w:eastAsia="zh-CN"/>
        </w:rPr>
        <w:t>赃款</w:t>
      </w:r>
      <w:r>
        <w:rPr>
          <w:rFonts w:hint="eastAsia" w:ascii="楷体_GB2312" w:eastAsia="楷体_GB2312"/>
          <w:szCs w:val="28"/>
          <w:lang w:eastAsia="zh-CN"/>
        </w:rPr>
        <w:t>人民币8800元。</w:t>
      </w:r>
      <w:r>
        <w:rPr>
          <w:rFonts w:hint="eastAsia" w:ascii="楷体_GB2312" w:hAnsi="宋体" w:eastAsia="楷体_GB2312"/>
          <w:szCs w:val="28"/>
        </w:rPr>
        <w:t>刑期</w:t>
      </w:r>
      <w:r>
        <w:rPr>
          <w:rFonts w:ascii="楷体_GB2312" w:hAnsi="宋体" w:eastAsia="楷体_GB2312"/>
          <w:szCs w:val="28"/>
        </w:rPr>
        <w:t>自2022年7月19日至2026年8月2日</w:t>
      </w:r>
      <w:r>
        <w:rPr>
          <w:rFonts w:hint="eastAsia" w:ascii="楷体_GB2312" w:hAnsi="宋体" w:eastAsia="楷体_GB2312"/>
          <w:szCs w:val="28"/>
        </w:rPr>
        <w:t>止</w:t>
      </w:r>
      <w:r>
        <w:rPr>
          <w:rFonts w:hint="eastAsia" w:ascii="楷体_GB2312" w:hAnsi="宋体" w:eastAsia="楷体_GB2312"/>
          <w:color w:val="auto"/>
          <w:szCs w:val="28"/>
          <w:lang w:eastAsia="zh-CN"/>
        </w:rPr>
        <w:t>。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该犯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及同案犯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不服，提出上诉，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2023年2月13日</w:t>
      </w:r>
      <w:r>
        <w:rPr>
          <w:rFonts w:hint="eastAsia" w:ascii="楷体_GB2312" w:eastAsia="楷体_GB2312"/>
          <w:color w:val="auto"/>
          <w:szCs w:val="28"/>
          <w:lang w:val="zh-CN" w:eastAsia="zh-CN"/>
        </w:rPr>
        <w:t>经河南省信阳市中级人民法院以（2023）豫15刑终127号刑事裁定书裁定：驳回上诉，维持原判。</w:t>
      </w:r>
      <w:r>
        <w:rPr>
          <w:rFonts w:hint="eastAsia" w:ascii="楷体_GB2312" w:eastAsia="楷体_GB2312"/>
          <w:color w:val="auto"/>
          <w:szCs w:val="28"/>
          <w:lang w:eastAsia="zh-CN"/>
        </w:rPr>
        <w:t>该</w:t>
      </w:r>
      <w:r>
        <w:rPr>
          <w:rFonts w:hint="eastAsia" w:ascii="楷体_GB2312" w:eastAsia="楷体_GB2312"/>
          <w:szCs w:val="28"/>
          <w:lang w:eastAsia="zh-CN"/>
        </w:rPr>
        <w:t>犯</w:t>
      </w:r>
      <w:r>
        <w:rPr>
          <w:rFonts w:hint="eastAsia" w:ascii="楷体_GB2312" w:hAnsi="宋体" w:eastAsia="楷体_GB2312"/>
          <w:szCs w:val="28"/>
        </w:rPr>
        <w:t>于</w:t>
      </w:r>
      <w:r>
        <w:rPr>
          <w:rFonts w:ascii="楷体_GB2312" w:eastAsia="楷体_GB2312"/>
          <w:szCs w:val="28"/>
        </w:rPr>
        <w:t>2023年6月12日</w:t>
      </w:r>
      <w:r>
        <w:rPr>
          <w:rFonts w:hint="eastAsia" w:ascii="楷体_GB2312" w:hAnsi="宋体" w:eastAsia="楷体_GB2312"/>
          <w:szCs w:val="28"/>
        </w:rPr>
        <w:t>入狱服刑改造，服刑期间执行刑期变动情况：</w:t>
      </w:r>
      <w:r>
        <w:rPr>
          <w:rFonts w:ascii="楷体_GB2312" w:hAnsi="宋体" w:eastAsia="楷体_GB2312"/>
          <w:szCs w:val="28"/>
        </w:rPr>
        <w:t>无</w:t>
      </w:r>
      <w:r>
        <w:rPr>
          <w:rFonts w:hint="eastAsia" w:ascii="楷体_GB2312" w:hAnsi="宋体" w:eastAsia="楷体_GB2312"/>
          <w:szCs w:val="28"/>
        </w:rPr>
        <w:t>，现余刑</w:t>
      </w:r>
      <w:r>
        <w:rPr>
          <w:rFonts w:ascii="楷体_GB2312" w:eastAsia="楷体_GB2312"/>
          <w:color w:val="auto"/>
          <w:szCs w:val="28"/>
        </w:rPr>
        <w:t>4个月13天</w:t>
      </w:r>
      <w:r>
        <w:rPr>
          <w:rFonts w:hint="eastAsia" w:ascii="楷体_GB2312" w:hAnsi="宋体" w:eastAsia="楷体_GB2312"/>
          <w:szCs w:val="28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5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该犯在近期</w:t>
      </w:r>
      <w:r>
        <w:rPr>
          <w:rFonts w:hint="eastAsia" w:ascii="楷体_GB2312" w:eastAsia="楷体_GB2312"/>
          <w:szCs w:val="28"/>
          <w:u w:val="single"/>
        </w:rPr>
        <w:t xml:space="preserve"> 确有</w:t>
      </w:r>
      <w:r>
        <w:rPr>
          <w:rFonts w:hint="eastAsia" w:ascii="楷体_GB2312" w:hAnsi="MS Mincho" w:eastAsia="楷体_GB2312"/>
          <w:szCs w:val="28"/>
          <w:u w:val="single"/>
        </w:rPr>
        <w:t>悔改表现</w:t>
      </w:r>
      <w:r>
        <w:rPr>
          <w:rFonts w:hint="eastAsia" w:ascii="楷体_GB2312" w:eastAsia="楷体_GB2312"/>
          <w:szCs w:val="28"/>
        </w:rPr>
        <w:t>，具体事实如下：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自入监以来，在监狱警官的教育和挽救下，思想逐步得到了转变，能够认罪悔罪，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服从管理，接受教育，深刻剖析犯罪根源，认清犯罪危害，树立正确的改造目标。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该犯在改造中能够不断进步，按要求学习《服刑人员行为规范》，用规范来对照自己，约束自己的言行，逐步养成了良好的遵规守纪习惯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，没有出现严重违规违纪现象。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该犯能够按要求参加学习和监区组织的各项集体活动，日常学习中，遵守课堂纪律，认真听讲，课后按时完成作业，考试成绩达到合格标准。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90"/>
        <w:jc w:val="both"/>
        <w:textAlignment w:val="baseline"/>
        <w:outlineLvl w:val="9"/>
        <w:rPr>
          <w:rFonts w:ascii="楷体_GB2312" w:hAnsi="宋体" w:eastAsia="楷体_GB2312"/>
          <w:snapToGrid w:val="0"/>
          <w:szCs w:val="28"/>
          <w:u w:val="single"/>
        </w:rPr>
      </w:pPr>
      <w:r>
        <w:rPr>
          <w:rFonts w:hint="eastAsia" w:ascii="楷体_GB2312" w:hAnsi="宋体" w:eastAsia="楷体_GB2312"/>
          <w:snapToGrid w:val="0"/>
          <w:szCs w:val="28"/>
          <w:u w:val="single"/>
        </w:rPr>
        <w:t>生产劳动方面</w:t>
      </w:r>
      <w:r>
        <w:rPr>
          <w:rFonts w:hint="eastAsia" w:ascii="楷体_GB2312" w:hAnsi="宋体" w:eastAsia="楷体_GB2312"/>
          <w:snapToGrid w:val="0"/>
          <w:szCs w:val="28"/>
          <w:u w:val="single"/>
          <w:lang w:eastAsia="zh-CN"/>
        </w:rPr>
        <w:t>，在上袖子岗位上</w:t>
      </w:r>
      <w:r>
        <w:rPr>
          <w:rFonts w:hint="eastAsia" w:ascii="楷体_GB2312" w:hAnsi="宋体" w:eastAsia="楷体_GB2312"/>
          <w:snapToGrid w:val="0"/>
          <w:szCs w:val="28"/>
          <w:u w:val="single"/>
        </w:rPr>
        <w:t>该犯能够服从分配，听从指挥，主动学习生产技能，提高技术水平，劳动中遵守操作规程和工艺要求，不违章作业，保质保量完成劳动任务。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hint="eastAsia" w:ascii="仿宋" w:hAnsi="仿宋" w:eastAsia="仿宋"/>
          <w:b/>
          <w:sz w:val="32"/>
          <w:szCs w:val="32"/>
        </w:rPr>
      </w:pPr>
      <w:r>
        <w:rPr>
          <w:rFonts w:hint="eastAsia" w:ascii="楷体_GB2312" w:hAnsi="楷体_GB2312" w:eastAsia="楷体_GB2312"/>
          <w:szCs w:val="28"/>
          <w:u w:val="single"/>
        </w:rPr>
        <w:t>由于该犯改造表现积极，于</w:t>
      </w:r>
      <w:r>
        <w:rPr>
          <w:rFonts w:ascii="楷体_GB2312" w:eastAsia="楷体_GB2312"/>
          <w:szCs w:val="28"/>
          <w:u w:val="single"/>
        </w:rPr>
        <w:t>2024年9月，2025年2月8月，2026年1月</w:t>
      </w:r>
      <w:r>
        <w:rPr>
          <w:rFonts w:hint="eastAsia" w:ascii="楷体_GB2312" w:eastAsia="楷体_GB2312"/>
          <w:szCs w:val="28"/>
          <w:u w:val="single"/>
        </w:rPr>
        <w:t>分别</w:t>
      </w:r>
      <w:r>
        <w:rPr>
          <w:rFonts w:hint="eastAsia" w:ascii="楷体_GB2312" w:hAnsi="楷体_GB2312" w:eastAsia="楷体_GB2312"/>
          <w:szCs w:val="28"/>
          <w:u w:val="single"/>
        </w:rPr>
        <w:t>获得表扬奖励</w:t>
      </w:r>
      <w:r>
        <w:rPr>
          <w:rFonts w:hint="eastAsia" w:ascii="楷体_GB2312" w:hAnsi="宋体" w:eastAsia="楷体_GB2312" w:cs="宋体"/>
          <w:szCs w:val="28"/>
          <w:u w:val="single"/>
        </w:rPr>
        <w:t>。</w:t>
      </w:r>
      <w:r>
        <w:rPr>
          <w:rFonts w:hint="eastAsia" w:ascii="楷体_GB2312" w:hAnsi="宋体" w:eastAsia="楷体_GB2312" w:cs="宋体"/>
          <w:szCs w:val="28"/>
          <w:u w:val="none" w:color="auto"/>
        </w:rPr>
        <w:t xml:space="preserve">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89"/>
        <w:jc w:val="both"/>
        <w:textAlignment w:val="baseline"/>
        <w:outlineLvl w:val="9"/>
        <w:rPr>
          <w:rFonts w:ascii="楷体_GB2312" w:hAnsi="楷体_GB2312" w:eastAsia="楷体_GB2312"/>
          <w:szCs w:val="28"/>
          <w:u w:val="single"/>
        </w:rPr>
      </w:pPr>
      <w:r>
        <w:rPr>
          <w:rFonts w:hint="eastAsia" w:ascii="楷体_GB2312" w:hAnsi="宋体" w:eastAsia="楷体_GB2312"/>
          <w:szCs w:val="28"/>
          <w:u w:val="single"/>
        </w:rPr>
        <w:t>综上所述，至本次提请减刑</w:t>
      </w:r>
      <w:r>
        <w:rPr>
          <w:rFonts w:hint="eastAsia" w:ascii="楷体_GB2312" w:hAnsi="宋体" w:eastAsia="楷体_GB2312"/>
          <w:szCs w:val="28"/>
          <w:u w:val="single"/>
          <w:lang w:eastAsia="zh-CN"/>
        </w:rPr>
        <w:t>假释</w:t>
      </w:r>
      <w:r>
        <w:rPr>
          <w:rFonts w:hint="eastAsia" w:ascii="楷体_GB2312" w:hAnsi="宋体" w:eastAsia="楷体_GB2312"/>
          <w:szCs w:val="28"/>
          <w:u w:val="single"/>
        </w:rPr>
        <w:t>确定的考核截止日期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5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12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31</w:t>
      </w:r>
      <w:r>
        <w:rPr>
          <w:rFonts w:hint="eastAsia" w:ascii="楷体_GB2312" w:hAnsi="宋体" w:eastAsia="楷体_GB2312" w:cs="宋体"/>
          <w:color w:val="auto"/>
          <w:szCs w:val="28"/>
          <w:u w:val="single"/>
        </w:rPr>
        <w:t>日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（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包括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202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6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年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val="en-US" w:eastAsia="zh-CN"/>
        </w:rPr>
        <w:t>1</w:t>
      </w:r>
      <w:r>
        <w:rPr>
          <w:rFonts w:hint="eastAsia" w:ascii="楷体_GB2312" w:hAnsi="宋体" w:eastAsia="楷体_GB2312" w:cs="宋体"/>
          <w:color w:val="auto"/>
          <w:szCs w:val="28"/>
          <w:u w:val="single"/>
          <w:lang w:eastAsia="zh-CN"/>
        </w:rPr>
        <w:t>月21日前已审批签章过且已完成所有法定程序后的表扬奖励、计分考核）</w:t>
      </w:r>
      <w:r>
        <w:rPr>
          <w:rFonts w:hint="eastAsia" w:ascii="楷体_GB2312" w:hAnsi="楷体_GB2312" w:eastAsia="楷体_GB2312" w:cs="楷体_GB2312"/>
          <w:szCs w:val="28"/>
          <w:u w:val="single"/>
        </w:rPr>
        <w:t>，</w:t>
      </w:r>
      <w:r>
        <w:rPr>
          <w:rFonts w:hint="eastAsia" w:ascii="楷体_GB2312" w:hAnsi="宋体" w:eastAsia="楷体_GB2312"/>
          <w:szCs w:val="28"/>
          <w:u w:val="single"/>
        </w:rPr>
        <w:t>该犯获得表扬奖励</w:t>
      </w:r>
      <w:r>
        <w:rPr>
          <w:rFonts w:ascii="楷体_GB2312" w:hAnsi="宋体" w:eastAsia="楷体_GB2312"/>
          <w:szCs w:val="28"/>
          <w:u w:val="single"/>
        </w:rPr>
        <w:t>4</w:t>
      </w:r>
      <w:r>
        <w:rPr>
          <w:rFonts w:hint="eastAsia" w:ascii="楷体_GB2312" w:hAnsi="宋体" w:eastAsia="楷体_GB2312"/>
          <w:szCs w:val="28"/>
          <w:u w:val="single"/>
        </w:rPr>
        <w:t>次，改造表现较好，</w:t>
      </w:r>
      <w:r>
        <w:rPr>
          <w:rFonts w:hint="eastAsia" w:ascii="楷体_GB2312" w:hAnsi="楷体_GB2312" w:eastAsia="楷体_GB2312"/>
          <w:szCs w:val="28"/>
          <w:u w:val="single"/>
        </w:rPr>
        <w:t>可视为</w:t>
      </w:r>
      <w:r>
        <w:rPr>
          <w:rFonts w:hint="eastAsia" w:ascii="楷体_GB2312" w:hAnsi="楷体_GB2312" w:eastAsia="楷体_GB2312"/>
          <w:szCs w:val="28"/>
          <w:u w:val="single"/>
          <w:lang w:eastAsia="zh-CN"/>
        </w:rPr>
        <w:t>近期</w:t>
      </w:r>
      <w:r>
        <w:rPr>
          <w:rFonts w:hint="eastAsia" w:ascii="楷体_GB2312" w:hAnsi="楷体_GB2312" w:eastAsia="楷体_GB2312"/>
          <w:szCs w:val="28"/>
          <w:u w:val="single"/>
        </w:rPr>
        <w:t>确有悔改表现</w:t>
      </w:r>
      <w:r>
        <w:rPr>
          <w:rFonts w:hint="eastAsia" w:ascii="楷体_GB2312" w:hAnsi="宋体" w:eastAsia="楷体_GB2312"/>
          <w:szCs w:val="28"/>
          <w:u w:val="single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right="0" w:rightChars="0" w:firstLine="556"/>
        <w:jc w:val="both"/>
        <w:textAlignment w:val="baseline"/>
        <w:outlineLvl w:val="9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为此，根据《中华人民共和国监狱法》第</w:t>
      </w:r>
      <w:r>
        <w:rPr>
          <w:rFonts w:hint="eastAsia" w:ascii="楷体_GB2312" w:eastAsia="楷体_GB2312"/>
          <w:szCs w:val="28"/>
          <w:u w:val="single"/>
        </w:rPr>
        <w:t>二十九</w:t>
      </w:r>
      <w:r>
        <w:rPr>
          <w:rFonts w:hint="eastAsia" w:ascii="楷体_GB2312" w:eastAsia="楷体_GB2312"/>
          <w:szCs w:val="28"/>
        </w:rPr>
        <w:t>条、第</w:t>
      </w:r>
      <w:r>
        <w:rPr>
          <w:rFonts w:hint="eastAsia" w:ascii="楷体_GB2312" w:eastAsia="楷体_GB2312"/>
          <w:szCs w:val="28"/>
          <w:u w:val="single"/>
        </w:rPr>
        <w:t>三十</w:t>
      </w:r>
      <w:r>
        <w:rPr>
          <w:rFonts w:hint="eastAsia" w:ascii="楷体_GB2312" w:eastAsia="楷体_GB2312"/>
          <w:szCs w:val="28"/>
        </w:rPr>
        <w:t>条、《中华人民共和国刑法》第</w:t>
      </w:r>
      <w:r>
        <w:rPr>
          <w:rFonts w:hint="eastAsia" w:ascii="楷体_GB2312" w:eastAsia="楷体_GB2312"/>
          <w:szCs w:val="28"/>
          <w:u w:val="single"/>
        </w:rPr>
        <w:t>七十八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一</w:t>
      </w:r>
      <w:r>
        <w:rPr>
          <w:rFonts w:hint="eastAsia" w:ascii="楷体_GB2312" w:eastAsia="楷体_GB2312"/>
          <w:szCs w:val="28"/>
        </w:rPr>
        <w:t>款、第</w:t>
      </w:r>
      <w:r>
        <w:rPr>
          <w:rFonts w:hint="eastAsia" w:ascii="楷体_GB2312" w:eastAsia="楷体_GB2312"/>
          <w:szCs w:val="28"/>
          <w:u w:val="single"/>
        </w:rPr>
        <w:t>七十九</w:t>
      </w:r>
      <w:r>
        <w:rPr>
          <w:rFonts w:hint="eastAsia" w:ascii="楷体_GB2312" w:eastAsia="楷体_GB2312"/>
          <w:szCs w:val="28"/>
        </w:rPr>
        <w:t>条、《中华人民共和国刑事诉讼法》第</w:t>
      </w:r>
      <w:r>
        <w:rPr>
          <w:rFonts w:hint="eastAsia" w:ascii="楷体_GB2312" w:eastAsia="楷体_GB2312"/>
          <w:szCs w:val="28"/>
          <w:u w:val="single"/>
        </w:rPr>
        <w:t>二百七十三</w:t>
      </w:r>
      <w:r>
        <w:rPr>
          <w:rFonts w:hint="eastAsia" w:ascii="楷体_GB2312" w:eastAsia="楷体_GB2312"/>
          <w:szCs w:val="28"/>
        </w:rPr>
        <w:t>条第</w:t>
      </w:r>
      <w:r>
        <w:rPr>
          <w:rFonts w:hint="eastAsia" w:ascii="楷体_GB2312" w:eastAsia="楷体_GB2312"/>
          <w:szCs w:val="28"/>
          <w:u w:val="single"/>
        </w:rPr>
        <w:t>二</w:t>
      </w:r>
      <w:r>
        <w:rPr>
          <w:rFonts w:hint="eastAsia" w:ascii="楷体_GB2312" w:eastAsia="楷体_GB2312"/>
          <w:szCs w:val="28"/>
        </w:rPr>
        <w:t>款的规定，经监区全体警察集体研究并公示二日、刑罚执行科审查、监狱减刑假释评审委员会评审后公示五个工作日、监狱长办公会议决定，并书面通报和邀请驻狱检察人员现场监督刑罚执行科审查、评审委员会评审活动等程序，建议对罪犯</w:t>
      </w:r>
      <w:r>
        <w:rPr>
          <w:rFonts w:ascii="楷体_GB2312" w:eastAsia="楷体_GB2312"/>
          <w:szCs w:val="28"/>
          <w:u w:val="single"/>
        </w:rPr>
        <w:t>梁耀振</w:t>
      </w:r>
      <w:r>
        <w:rPr>
          <w:rFonts w:hint="eastAsia" w:ascii="楷体_GB2312" w:eastAsia="楷体_GB2312"/>
          <w:szCs w:val="28"/>
        </w:rPr>
        <w:t>予以减</w:t>
      </w:r>
      <w:r>
        <w:rPr>
          <w:rFonts w:hint="eastAsia" w:ascii="楷体_GB2312" w:eastAsia="楷体_GB2312"/>
          <w:szCs w:val="28"/>
          <w:lang w:val="en-US" w:eastAsia="zh-CN"/>
        </w:rPr>
        <w:t>刑</w:t>
      </w:r>
      <w:r>
        <w:rPr>
          <w:rFonts w:hint="eastAsia" w:ascii="楷体_GB2312" w:eastAsia="楷体_GB2312"/>
          <w:color w:val="auto"/>
          <w:szCs w:val="28"/>
          <w:u w:val="single"/>
        </w:rPr>
        <w:t>三</w:t>
      </w:r>
      <w:r>
        <w:rPr>
          <w:rFonts w:hint="eastAsia" w:ascii="楷体_GB2312" w:eastAsia="楷体_GB2312"/>
          <w:color w:val="auto"/>
          <w:szCs w:val="28"/>
          <w:u w:val="single"/>
          <w:lang w:val="en-US" w:eastAsia="zh-CN"/>
        </w:rPr>
        <w:t>个月</w:t>
      </w:r>
      <w:r>
        <w:rPr>
          <w:rFonts w:hint="eastAsia" w:ascii="楷体_GB2312" w:eastAsia="楷体_GB2312"/>
          <w:szCs w:val="28"/>
        </w:rPr>
        <w:t>，特提请裁定。</w:t>
      </w:r>
    </w:p>
    <w:p>
      <w:pPr>
        <w:spacing w:line="540" w:lineRule="exact"/>
        <w:ind w:firstLine="560" w:firstLineChars="2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此致</w:t>
      </w:r>
    </w:p>
    <w:p>
      <w:pPr>
        <w:spacing w:line="540" w:lineRule="exac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  <w:u w:val="single"/>
        </w:rPr>
        <w:t>南阳市中级</w:t>
      </w:r>
      <w:r>
        <w:rPr>
          <w:rFonts w:hint="eastAsia" w:ascii="楷体_GB2312" w:eastAsia="楷体_GB2312"/>
          <w:szCs w:val="28"/>
        </w:rPr>
        <w:t>人民法院</w:t>
      </w:r>
    </w:p>
    <w:p>
      <w:pPr>
        <w:spacing w:line="442" w:lineRule="atLeast"/>
        <w:ind w:firstLine="5040" w:firstLineChars="1800"/>
        <w:rPr>
          <w:rFonts w:hint="eastAsia" w:ascii="楷体_GB2312" w:eastAsia="楷体_GB2312"/>
          <w:szCs w:val="28"/>
        </w:rPr>
      </w:pPr>
    </w:p>
    <w:p>
      <w:pPr>
        <w:spacing w:line="442" w:lineRule="atLeast"/>
        <w:ind w:firstLine="5040" w:firstLineChars="1800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河南省南阳监狱</w:t>
      </w:r>
    </w:p>
    <w:p>
      <w:pPr>
        <w:spacing w:line="442" w:lineRule="atLeast"/>
        <w:rPr>
          <w:rFonts w:ascii="楷体_GB2312" w:eastAsia="楷体_GB2312"/>
          <w:szCs w:val="28"/>
        </w:rPr>
      </w:pPr>
      <w:r>
        <w:rPr>
          <w:rFonts w:hint="eastAsia" w:ascii="楷体_GB2312" w:eastAsia="楷体_GB2312"/>
          <w:szCs w:val="28"/>
        </w:rPr>
        <w:t>　　　　　　　　　　　　　　　　　　    （公章）</w:t>
      </w:r>
    </w:p>
    <w:p>
      <w:pPr>
        <w:spacing w:line="442" w:lineRule="atLeast"/>
      </w:pPr>
      <w:r>
        <w:rPr>
          <w:rFonts w:hint="eastAsia" w:ascii="楷体_GB2312" w:eastAsia="楷体_GB2312"/>
          <w:szCs w:val="28"/>
        </w:rPr>
        <w:t xml:space="preserve">　　　　　　　 　　　　　      </w:t>
      </w:r>
      <w:r>
        <w:rPr>
          <w:rFonts w:hint="eastAsia" w:ascii="楷体_GB2312" w:eastAsia="楷体_GB2312"/>
          <w:color w:val="auto"/>
          <w:szCs w:val="28"/>
        </w:rPr>
        <w:t xml:space="preserve">  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〇</w:t>
      </w:r>
      <w:r>
        <w:rPr>
          <w:rFonts w:hint="eastAsia" w:ascii="楷体_GB2312" w:eastAsia="楷体_GB2312"/>
          <w:color w:val="auto"/>
          <w:szCs w:val="28"/>
        </w:rPr>
        <w:t>二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六</w:t>
      </w:r>
      <w:r>
        <w:rPr>
          <w:rFonts w:hint="eastAsia" w:ascii="楷体_GB2312" w:eastAsia="楷体_GB2312"/>
          <w:color w:val="auto"/>
          <w:szCs w:val="28"/>
        </w:rPr>
        <w:t>年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三</w:t>
      </w:r>
      <w:r>
        <w:rPr>
          <w:rFonts w:hint="eastAsia" w:ascii="楷体_GB2312" w:eastAsia="楷体_GB2312"/>
          <w:color w:val="auto"/>
          <w:szCs w:val="28"/>
        </w:rPr>
        <w:t>月</w:t>
      </w:r>
      <w:r>
        <w:rPr>
          <w:rFonts w:hint="eastAsia" w:ascii="楷体_GB2312" w:eastAsia="楷体_GB2312"/>
          <w:color w:val="auto"/>
          <w:szCs w:val="28"/>
          <w:lang w:val="en-US" w:eastAsia="zh-CN"/>
        </w:rPr>
        <w:t>二十</w:t>
      </w:r>
      <w:r>
        <w:rPr>
          <w:rFonts w:hint="eastAsia" w:ascii="楷体_GB2312" w:eastAsia="楷体_GB2312"/>
          <w:color w:val="auto"/>
          <w:szCs w:val="28"/>
        </w:rPr>
        <w:t>日</w:t>
      </w:r>
      <w:r>
        <w:rPr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ge">
                  <wp:posOffset>9248775</wp:posOffset>
                </wp:positionV>
                <wp:extent cx="1828800" cy="1828800"/>
                <wp:effectExtent l="0" t="0" r="0" b="0"/>
                <wp:wrapNone/>
                <wp:docPr id="4" name="文本框 2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附：罪犯</w:t>
                            </w:r>
                            <w:r>
                              <w:rPr>
                                <w:rFonts w:ascii="楷体_GB2312" w:eastAsia="楷体_GB2312"/>
                                <w:szCs w:val="28"/>
                                <w:u w:val="single"/>
                              </w:rPr>
                              <w:t>梁耀振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卷宗材料共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卷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/>
                              </w:rPr>
                              <w:t>１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册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  <w:u w:val="single" w:color="auto"/>
                                <w:lang w:val="en-US" w:eastAsia="zh-CN"/>
                              </w:rPr>
                              <w:t xml:space="preserve">   </w:t>
                            </w:r>
                            <w:r>
                              <w:rPr>
                                <w:rFonts w:hint="eastAsia" w:ascii="楷体_GB2312" w:eastAsia="楷体_GB2312"/>
                                <w:szCs w:val="28"/>
                              </w:rPr>
                              <w:t>页。</w:t>
                            </w:r>
                          </w:p>
                        </w:txbxContent>
                      </wps:txbx>
                      <wps:bodyPr wrap="non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31" o:spid="_x0000_s1026" o:spt="202" type="#_x0000_t202" style="position:absolute;left:0pt;margin-left:0pt;margin-top:728.25pt;height:144pt;width:144pt;mso-position-vertical-relative:page;mso-wrap-style:none;z-index:251661312;mso-width-relative:page;mso-height-relative:page;" filled="f" stroked="f" coordsize="21600,21600" o:gfxdata="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r>
                        <w:rPr>
                          <w:rFonts w:hint="eastAsia" w:ascii="楷体_GB2312" w:eastAsia="楷体_GB2312"/>
                          <w:szCs w:val="28"/>
                        </w:rPr>
                        <w:t>附：罪犯</w:t>
                      </w:r>
                      <w:r>
                        <w:rPr>
                          <w:rFonts w:ascii="楷体_GB2312" w:eastAsia="楷体_GB2312"/>
                          <w:szCs w:val="28"/>
                          <w:u w:val="single"/>
                        </w:rPr>
                        <w:t>梁耀振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卷宗材料共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卷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/>
                        </w:rPr>
                        <w:t>１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册</w:t>
                      </w:r>
                      <w:r>
                        <w:rPr>
                          <w:rFonts w:hint="eastAsia" w:ascii="楷体_GB2312" w:eastAsia="楷体_GB2312"/>
                          <w:szCs w:val="28"/>
                          <w:u w:val="single" w:color="auto"/>
                          <w:lang w:val="en-US" w:eastAsia="zh-CN"/>
                        </w:rPr>
                        <w:t xml:space="preserve">   </w:t>
                      </w:r>
                      <w:r>
                        <w:rPr>
                          <w:rFonts w:hint="eastAsia" w:ascii="楷体_GB2312" w:eastAsia="楷体_GB2312"/>
                          <w:szCs w:val="28"/>
                        </w:rPr>
                        <w:t>页。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4002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FF6D80"/>
    <w:rsid w:val="22FF6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30" w:lineRule="atLeast"/>
      <w:jc w:val="both"/>
      <w:textAlignment w:val="baseline"/>
    </w:pPr>
    <w:rPr>
      <w:rFonts w:ascii="Times New Roman" w:hAnsi="Times New Roman" w:eastAsia="宋体" w:cs="Times New Roman"/>
      <w:color w:val="000000"/>
      <w:sz w:val="28"/>
      <w:szCs w:val="31"/>
      <w:u w:val="none" w:color="00000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2026-03-21T01:32:00Z</dcterms:created>
  <dc:creator>Administrator</dc:creator>
  <cp:lastModifiedBy>Administrator</cp:lastModifiedBy>
  <dcterms:modified xsi:type="dcterms:W3CDTF">2026-03-21T01:37:18Z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