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（2026）宛狱减字第118号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刘帅，男，2000年2月21日出生，汉族，原户籍所在地河南省新野县，因犯强奸、掩饰、隐瞒犯罪所得罪经河南省新野县人民法院于2022年12月27日以（2022）豫1329刑初539号刑事判决书判处，数罪并罚，决定执行有期徒刑三年零九个月，并处罚金人民币2000元（已缴纳），刑期自2022年10月11日起至2026年7月10日止。于2023年3月6日送我狱服刑改造。服刑期间执行刑期变动情况：无，现余刑3个月20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由于该犯改造表现积极，于2023年12月、2024年5月、2025年4月、2025年10月分别获得表扬奖励。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至本次提请减刑假释确定的考核截止日期2025年12月31日（包括2026年1月21日前已审批签章过且已完成所有法定程序后的表扬奖励、计分考核），该犯获得表扬奖励4次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刘帅</w:t>
      </w:r>
      <w:r>
        <w:rPr>
          <w:rFonts w:hint="eastAsia" w:ascii="楷体_GB2312" w:eastAsia="楷体_GB2312"/>
          <w:sz w:val="28"/>
        </w:rPr>
        <w:t>予以减刑</w:t>
      </w:r>
      <w:r>
        <w:rPr>
          <w:rFonts w:hint="eastAsia" w:ascii="楷体_GB2312" w:eastAsia="楷体_GB2312"/>
          <w:sz w:val="28"/>
          <w:u w:val="single"/>
        </w:rPr>
        <w:t xml:space="preserve"> 二个月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</w:pPr>
      <w:r>
        <w:rPr>
          <w:rFonts w:hint="eastAsia" w:ascii="楷体_GB2312" w:eastAsia="楷体_GB2312"/>
          <w:sz w:val="28"/>
        </w:rPr>
        <w:t>附：罪犯</w:t>
      </w:r>
      <w:r>
        <w:rPr>
          <w:rFonts w:hint="eastAsia" w:ascii="楷体_GB2312" w:eastAsia="楷体_GB2312"/>
          <w:sz w:val="28"/>
          <w:u w:val="single"/>
        </w:rPr>
        <w:t>刘帅</w:t>
      </w:r>
      <w:r>
        <w:rPr>
          <w:rFonts w:hint="eastAsia" w:ascii="楷体_GB2312" w:eastAsia="楷体_GB2312"/>
          <w:sz w:val="28"/>
        </w:rPr>
        <w:t>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sectPr>
      <w:pgSz w:w="12240" w:h="15840"/>
      <w:pgMar w:top="88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3E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2026-03-29T02:14:00Z</dcterms:created>
  <dc:creator>直属二</dc:creator>
  <cp:lastModifiedBy>直属二</cp:lastModifiedBy>
  <dcterms:modified xsi:type="dcterms:W3CDTF">2026-03-29T02:15:24Z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