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</w:t>
      </w:r>
      <w:r>
        <w:rPr>
          <w:rFonts w:hint="eastAsia" w:ascii="楷体_GB2312" w:eastAsia="楷体_GB2312"/>
          <w:color w:val="auto"/>
          <w:szCs w:val="28"/>
        </w:rPr>
        <w:t>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字第77号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余兵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1999年8月1日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汉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河南省息县</w:t>
      </w:r>
      <w:r>
        <w:rPr>
          <w:rFonts w:hint="eastAsia" w:ascii="楷体_GB2312" w:hAnsi="宋体" w:eastAsia="楷体_GB2312"/>
          <w:szCs w:val="28"/>
        </w:rPr>
        <w:t>。</w:t>
      </w:r>
      <w:r>
        <w:rPr>
          <w:rFonts w:ascii="楷体_GB2312" w:eastAsia="楷体_GB2312"/>
          <w:szCs w:val="28"/>
        </w:rPr>
        <w:t>2020年9月16日河南省息县人民法院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（2019）豫1528刑初527号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余兵犯</w:t>
      </w:r>
      <w:r>
        <w:rPr>
          <w:rFonts w:ascii="楷体_GB2312" w:eastAsia="楷体_GB2312"/>
          <w:szCs w:val="28"/>
        </w:rPr>
        <w:t>强奸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十年</w:t>
      </w:r>
      <w:r>
        <w:rPr>
          <w:rFonts w:hint="eastAsia" w:ascii="楷体_GB2312" w:eastAsia="楷体_GB2312"/>
          <w:szCs w:val="28"/>
          <w:lang w:eastAsia="zh-CN"/>
        </w:rPr>
        <w:t>，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自2019年8月30日至2029年8月29日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hAnsi="宋体" w:eastAsia="楷体_GB2312"/>
          <w:color w:val="auto"/>
          <w:szCs w:val="28"/>
          <w:lang w:val="en-US" w:eastAsia="zh-CN"/>
        </w:rPr>
        <w:t>该犯的同案犯</w:t>
      </w:r>
      <w:r>
        <w:rPr>
          <w:rFonts w:hint="eastAsia" w:ascii="楷体_GB2312" w:eastAsia="楷体_GB2312"/>
          <w:color w:val="auto"/>
          <w:szCs w:val="28"/>
          <w:lang w:val="zh-CN" w:eastAsia="zh-CN"/>
        </w:rPr>
        <w:t>不服，提出上诉，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2020年12月8日</w:t>
      </w:r>
      <w:r>
        <w:rPr>
          <w:rFonts w:hint="eastAsia" w:ascii="楷体_GB2312" w:eastAsia="楷体_GB2312"/>
          <w:color w:val="auto"/>
          <w:szCs w:val="28"/>
          <w:lang w:val="zh-CN" w:eastAsia="zh-CN"/>
        </w:rPr>
        <w:t>经河南省信阳市中级人民法院以（2020）豫15刑终443号刑事裁定书裁定：驳回上诉，维持原判，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2021年6月3日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2024年4月26日</w:t>
      </w:r>
      <w:r>
        <w:rPr>
          <w:rFonts w:hint="eastAsia" w:ascii="楷体_GB2312" w:hAnsi="宋体" w:eastAsia="楷体_GB2312"/>
          <w:szCs w:val="28"/>
        </w:rPr>
        <w:t>被河南省南阳市中级人民法院裁定</w:t>
      </w:r>
      <w:r>
        <w:rPr>
          <w:rFonts w:ascii="楷体_GB2312" w:hAnsi="宋体" w:eastAsia="楷体_GB2312"/>
          <w:szCs w:val="28"/>
        </w:rPr>
        <w:t>减刑七个月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hint="eastAsia" w:ascii="楷体_GB2312" w:hAnsi="宋体" w:eastAsia="楷体_GB2312"/>
          <w:szCs w:val="28"/>
          <w:lang w:val="en-US" w:eastAsia="zh-CN"/>
        </w:rPr>
        <w:t>减刑后刑满日期为2029年1月29日，</w:t>
      </w:r>
      <w:r>
        <w:rPr>
          <w:rFonts w:hint="eastAsia" w:ascii="楷体_GB2312" w:hAnsi="宋体" w:eastAsia="楷体_GB2312"/>
          <w:szCs w:val="28"/>
        </w:rPr>
        <w:t>现余刑</w:t>
      </w:r>
      <w:r>
        <w:rPr>
          <w:rFonts w:ascii="楷体_GB2312" w:eastAsia="楷体_GB2312"/>
          <w:color w:val="auto"/>
          <w:szCs w:val="28"/>
        </w:rPr>
        <w:t>2年10个月9天</w:t>
      </w:r>
      <w:r>
        <w:rPr>
          <w:rFonts w:hint="eastAsia" w:ascii="楷体_GB2312" w:hAnsi="宋体" w:eastAsia="楷体_GB231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自上次减刑以来，能够继续认罪悔罪，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，在线长岗位上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由于该犯改造表现积极，于</w:t>
      </w:r>
      <w:r>
        <w:rPr>
          <w:rFonts w:ascii="楷体_GB2312" w:eastAsia="楷体_GB2312"/>
          <w:szCs w:val="28"/>
          <w:u w:val="single"/>
        </w:rPr>
        <w:t>2024年4月9月，2025年2月7月，2026年1月</w:t>
      </w:r>
      <w:r>
        <w:rPr>
          <w:rFonts w:hint="eastAsia" w:ascii="楷体_GB2312" w:eastAsia="楷体_GB2312"/>
          <w:szCs w:val="28"/>
          <w:u w:val="single"/>
        </w:rPr>
        <w:t>分别</w:t>
      </w:r>
      <w:r>
        <w:rPr>
          <w:rFonts w:hint="eastAsia" w:ascii="楷体_GB2312" w:hAnsi="楷体_GB2312" w:eastAsia="楷体_GB2312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szCs w:val="28"/>
          <w:u w:val="single"/>
        </w:rPr>
        <w:t>，</w:t>
      </w:r>
      <w:r>
        <w:rPr>
          <w:rFonts w:hint="eastAsia" w:ascii="楷体_GB2312" w:hAnsi="宋体" w:eastAsia="楷体_GB2312"/>
          <w:szCs w:val="28"/>
          <w:u w:val="single"/>
        </w:rPr>
        <w:t>该犯获得表扬奖励</w:t>
      </w:r>
      <w:r>
        <w:rPr>
          <w:rFonts w:ascii="楷体_GB2312" w:hAnsi="宋体" w:eastAsia="楷体_GB2312"/>
          <w:szCs w:val="28"/>
          <w:u w:val="single"/>
        </w:rPr>
        <w:t>5</w:t>
      </w:r>
      <w:r>
        <w:rPr>
          <w:rFonts w:hint="eastAsia" w:ascii="楷体_GB2312" w:hAnsi="宋体" w:eastAsia="楷体_GB2312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szCs w:val="28"/>
          <w:u w:val="single"/>
        </w:rPr>
        <w:t>余兵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七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</w:pPr>
      <w:r>
        <w:rPr>
          <w:rFonts w:hint="eastAsia" w:ascii="楷体_GB2312" w:eastAsia="楷体_GB2312"/>
          <w:szCs w:val="28"/>
        </w:rPr>
        <w:t xml:space="preserve">　　　　　　　 　　　　　      </w:t>
      </w:r>
      <w:r>
        <w:rPr>
          <w:rFonts w:hint="eastAsia" w:ascii="楷体_GB2312" w:eastAsia="楷体_GB2312"/>
          <w:color w:val="auto"/>
          <w:szCs w:val="28"/>
        </w:rPr>
        <w:t xml:space="preserve">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余兵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0pt;margin-top:728.25pt;height:144pt;width:144pt;mso-position-vertical-relative:page;mso-wrap-style:none;z-index:251658240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l5A&#10;YtUAAAAKAQAADwAAAAAAAAABACAAAAAiAAAAZHJzL2Rvd25yZXYueG1sUEsBAhQAFAAAAAgAh07i&#10;QLsYemWzAQAATAMAAA4AAAAAAAAAAQAgAAAAJA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余兵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61200"/>
    <w:rsid w:val="7406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