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653</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杜松</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1994</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6</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河南省信阳市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因强奸罪经河南省信阳市平桥区人民法院于2022年8月26日以（2022）豫1503刑初327号</w:t>
      </w:r>
      <w:r>
        <w:rPr>
          <w:rFonts w:hint="eastAsia" w:ascii="楷体_GB2312" w:eastAsia="楷体_GB2312"/>
          <w:spacing w:val="28"/>
          <w:szCs w:val="28"/>
          <w:u w:val="none" w:color="auto"/>
          <w:lang w:val="zh-CN" w:eastAsia="zh-CN"/>
        </w:rPr>
        <w:t>刑事</w:t>
      </w:r>
      <w:r>
        <w:rPr>
          <w:rFonts w:hint="eastAsia" w:ascii="楷体_GB2312" w:eastAsia="楷体_GB2312"/>
          <w:spacing w:val="28"/>
          <w:szCs w:val="28"/>
          <w:u w:val="none" w:color="auto"/>
          <w:lang w:val="en-US" w:eastAsia="zh-CN"/>
        </w:rPr>
        <w:t>判</w:t>
      </w:r>
      <w:r>
        <w:rPr>
          <w:rFonts w:hint="eastAsia" w:ascii="楷体_GB2312" w:eastAsia="楷体_GB2312"/>
          <w:spacing w:val="28"/>
          <w:szCs w:val="28"/>
          <w:u w:val="none" w:color="auto"/>
          <w:lang w:val="zh-CN" w:eastAsia="zh-CN"/>
        </w:rPr>
        <w:t>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1个月18</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w:t>
      </w:r>
      <w:r>
        <w:rPr>
          <w:rFonts w:hint="eastAsia" w:ascii="楷体_GB2312" w:eastAsia="楷体_GB2312"/>
          <w:snapToGrid w:val="0"/>
          <w:szCs w:val="28"/>
          <w:u w:val="single"/>
          <w:lang w:val="en-US" w:eastAsia="zh-CN"/>
        </w:rPr>
        <w:t>能够</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2024年3月、8月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杜松</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余刑</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杜松</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C7A30"/>
    <w:rsid w:val="637C7A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2024-12-22T23:33:00Z</dcterms:created>
  <dc:creator>Think</dc:creator>
  <cp:lastModifiedBy>Think</cp:lastModifiedBy>
  <dcterms:modified xsi:type="dcterms:W3CDTF">2024-12-22T23:33:37Z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