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693</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李静</w:t>
      </w:r>
      <w:r>
        <w:rPr>
          <w:rFonts w:hint="eastAsia" w:ascii="楷体_GB2312" w:hAnsi="宋体" w:eastAsia="楷体_GB2312"/>
          <w:color w:val="auto"/>
          <w:spacing w:val="28"/>
          <w:szCs w:val="28"/>
          <w:u w:val="none" w:color="auto"/>
        </w:rPr>
        <w:t>，男，1968年9月6日出生，汉族，原户籍所在地河南省郑州市金水区，因故意杀人罪经河南省郑州市中级人民法院于2022年2月23日以(2021)豫01刑初142号刑事判决书判处有期徒刑10年；附加刑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刑期自2021年9月12日起至2031年8月17日止；于2022年7月12日送我狱服刑改造。服刑期间执行刑期变动情况：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，现余刑6年6个月17天。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于23年4月10月、24年4月10月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李静</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李静</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829</Words>
  <Characters>889</Characters>
  <Lines>0</Lines>
  <Paragraphs>0</Paragraphs>
  <TotalTime>0</TotalTime>
  <ScaleCrop>false</ScaleCrop>
  <LinksUpToDate>false</LinksUpToDate>
  <CharactersWithSpaces>924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F081D4EC5EAA4296849B3B7C71F66BD7</vt:lpwstr>
  </property>
</Properties>
</file>