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刘喜增</w:t>
      </w:r>
      <w:r>
        <w:rPr>
          <w:rFonts w:hint="eastAsia" w:ascii="楷体_GB2312" w:hAnsi="宋体" w:eastAsia="楷体_GB2312"/>
          <w:color w:val="auto"/>
          <w:spacing w:val="28"/>
          <w:szCs w:val="28"/>
          <w:u w:val="none" w:color="auto"/>
        </w:rPr>
        <w:t>，男，1950年10月14日出生，汉族，原户籍所在地河南省社旗县，因强奸罪经河南省社旗县人民法院于2021年8月26日以（2021）豫1327刑初386号刑事判决书判处有期徒刑4年9个月；附加刑</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无</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刑期自2021年3月18日起至2025年12月17日止；于2021年10月9日送我狱服刑改造。服刑期间执行刑期变动情况：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，现余刑10个月17天。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于22年6月12月、23年5月11月、24年4月10月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表扬奖励6</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刘喜增</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刘喜增</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075332"/>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3B74FA"/>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DEA3DA6"/>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776</Words>
  <Characters>832</Characters>
  <Lines>0</Lines>
  <Paragraphs>0</Paragraphs>
  <TotalTime>0</TotalTime>
  <ScaleCrop>false</ScaleCrop>
  <LinksUpToDate>false</LinksUpToDate>
  <CharactersWithSpaces>867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F1D4399DD9954D498F289E953E871D0E</vt:lpwstr>
  </property>
</Properties>
</file>