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w:t>
      </w:r>
      <w:r>
        <w:rPr>
          <w:rFonts w:hint="eastAsia" w:ascii="宋体" w:hAnsi="宋体"/>
          <w:b/>
          <w:spacing w:val="28"/>
          <w:sz w:val="44"/>
          <w:szCs w:val="44"/>
          <w:lang w:eastAsia="zh-CN"/>
        </w:rPr>
        <w:t>假释</w:t>
      </w:r>
      <w:r>
        <w:rPr>
          <w:rFonts w:hint="eastAsia" w:ascii="宋体" w:hAnsi="宋体"/>
          <w:b/>
          <w:spacing w:val="28"/>
          <w:sz w:val="44"/>
          <w:szCs w:val="44"/>
        </w:rPr>
        <w:t>建议书</w:t>
      </w:r>
    </w:p>
    <w:p>
      <w:pPr>
        <w:spacing w:line="540" w:lineRule="exact"/>
        <w:ind w:left="567"/>
        <w:jc w:val="right"/>
        <w:rPr>
          <w:rFonts w:ascii="宋体" w:hAnsi="宋体"/>
          <w:sz w:val="30"/>
          <w:szCs w:val="30"/>
        </w:rPr>
      </w:pPr>
      <w:r>
        <w:rPr>
          <w:rFonts w:hint="eastAsia" w:ascii="宋体" w:hAnsi="宋体"/>
          <w:sz w:val="30"/>
          <w:szCs w:val="30"/>
        </w:rPr>
        <w:t>（2025）宛狱</w:t>
      </w:r>
      <w:r>
        <w:rPr>
          <w:rFonts w:hint="eastAsia" w:ascii="宋体" w:hAnsi="宋体"/>
          <w:sz w:val="30"/>
          <w:szCs w:val="30"/>
          <w:lang w:eastAsia="zh-CN"/>
        </w:rPr>
        <w:t>假</w:t>
      </w:r>
      <w:r>
        <w:rPr>
          <w:rFonts w:hint="eastAsia" w:ascii="宋体" w:hAnsi="宋体"/>
          <w:sz w:val="30"/>
          <w:szCs w:val="30"/>
        </w:rPr>
        <w:t>字第</w:t>
      </w:r>
      <w:r>
        <w:rPr>
          <w:rFonts w:hint="eastAsia" w:ascii="宋体" w:hAnsi="宋体"/>
          <w:sz w:val="30"/>
          <w:szCs w:val="30"/>
          <w:lang w:val="en-US" w:eastAsia="zh-CN"/>
        </w:rPr>
        <w:t>3</w:t>
      </w:r>
      <w:r>
        <w:rPr>
          <w:rFonts w:hint="eastAsia" w:ascii="宋体" w:hAnsi="宋体"/>
          <w:sz w:val="30"/>
          <w:szCs w:val="30"/>
        </w:rPr>
        <w:t>号</w:t>
      </w:r>
    </w:p>
    <w:p>
      <w:pPr>
        <w:spacing w:line="540" w:lineRule="exact"/>
        <w:ind w:firstLine="556"/>
        <w:rPr>
          <w:rFonts w:ascii="宋体" w:hAnsi="宋体"/>
          <w:spacing w:val="28"/>
          <w:sz w:val="28"/>
          <w:szCs w:val="28"/>
          <w:u w:val="single"/>
        </w:rPr>
      </w:pPr>
      <w:r>
        <w:rPr>
          <w:rFonts w:hint="eastAsia" w:ascii="宋体" w:hAnsi="宋体" w:eastAsia="宋体" w:cs="Times New Roman"/>
          <w:color w:val="000000"/>
          <w:spacing w:val="28"/>
          <w:sz w:val="28"/>
          <w:szCs w:val="28"/>
          <w:u w:val="single"/>
          <w:lang w:val="en-US" w:eastAsia="zh-CN" w:bidi="ar"/>
        </w:rPr>
        <w:t>罪犯庞峰，男，1991年9月15日出生，汉族，原户籍所在地河南省邓州市，因非法经营罪经河南省邓州市人民法院于2021年7月5日以（2021）豫1381刑初652号刑事判决书判处有期徒刑六年，并处罚金人民币50000元、追缴违法所得人民币36211.25元；刑期自2020年9月26日起至2026年9月25日止。于2021年10月8日送我狱服刑改造。</w:t>
      </w:r>
      <w:r>
        <w:rPr>
          <w:rFonts w:hint="eastAsia" w:ascii="宋体" w:hAnsi="宋体"/>
          <w:spacing w:val="28"/>
          <w:sz w:val="28"/>
          <w:szCs w:val="28"/>
          <w:u w:val="single"/>
        </w:rPr>
        <w:t>服刑期间执行刑期变动情况:</w:t>
      </w:r>
      <w:r>
        <w:rPr>
          <w:rFonts w:hint="eastAsia" w:ascii="宋体" w:hAnsi="宋体"/>
          <w:spacing w:val="28"/>
          <w:sz w:val="28"/>
          <w:szCs w:val="28"/>
          <w:u w:val="single"/>
          <w:lang w:val="en-US" w:eastAsia="zh-CN"/>
        </w:rPr>
        <w:t>20</w:t>
      </w:r>
      <w:r>
        <w:rPr>
          <w:rFonts w:hint="eastAsia" w:ascii="宋体" w:hAnsi="宋体"/>
          <w:spacing w:val="28"/>
          <w:sz w:val="28"/>
          <w:szCs w:val="28"/>
          <w:u w:val="single"/>
        </w:rPr>
        <w:t>23年11月23日被河南省南阳市中级人民法院裁定减去有期徒刑五个月,现刑期起止为：自2020年9月26日起至202</w:t>
      </w:r>
      <w:r>
        <w:rPr>
          <w:rFonts w:hint="eastAsia" w:ascii="宋体" w:hAnsi="宋体"/>
          <w:spacing w:val="28"/>
          <w:sz w:val="28"/>
          <w:szCs w:val="28"/>
          <w:u w:val="single"/>
          <w:lang w:val="en-US" w:eastAsia="zh-CN"/>
        </w:rPr>
        <w:t>6</w:t>
      </w:r>
      <w:r>
        <w:rPr>
          <w:rFonts w:hint="eastAsia" w:ascii="宋体" w:hAnsi="宋体"/>
          <w:spacing w:val="28"/>
          <w:sz w:val="28"/>
          <w:szCs w:val="28"/>
          <w:u w:val="single"/>
        </w:rPr>
        <w:t>年</w:t>
      </w:r>
      <w:r>
        <w:rPr>
          <w:rFonts w:hint="eastAsia" w:ascii="宋体" w:hAnsi="宋体"/>
          <w:spacing w:val="28"/>
          <w:sz w:val="28"/>
          <w:szCs w:val="28"/>
          <w:u w:val="single"/>
          <w:lang w:val="en-US" w:eastAsia="zh-CN"/>
        </w:rPr>
        <w:t>4</w:t>
      </w:r>
      <w:r>
        <w:rPr>
          <w:rFonts w:hint="eastAsia" w:ascii="宋体" w:hAnsi="宋体"/>
          <w:spacing w:val="28"/>
          <w:sz w:val="28"/>
          <w:szCs w:val="28"/>
          <w:u w:val="single"/>
        </w:rPr>
        <w:t>月</w:t>
      </w:r>
      <w:r>
        <w:rPr>
          <w:rFonts w:hint="eastAsia" w:ascii="宋体" w:hAnsi="宋体"/>
          <w:spacing w:val="28"/>
          <w:sz w:val="28"/>
          <w:szCs w:val="28"/>
          <w:u w:val="single"/>
          <w:lang w:val="en-US" w:eastAsia="zh-CN"/>
        </w:rPr>
        <w:t>25</w:t>
      </w:r>
      <w:r>
        <w:rPr>
          <w:rFonts w:hint="eastAsia" w:ascii="宋体" w:hAnsi="宋体"/>
          <w:spacing w:val="28"/>
          <w:sz w:val="28"/>
          <w:szCs w:val="28"/>
          <w:u w:val="single"/>
        </w:rPr>
        <w:t>日止。现余刑</w:t>
      </w:r>
      <w:r>
        <w:rPr>
          <w:rFonts w:hint="eastAsia" w:ascii="宋体" w:hAnsi="宋体"/>
          <w:spacing w:val="28"/>
          <w:sz w:val="28"/>
          <w:szCs w:val="28"/>
          <w:u w:val="single"/>
          <w:lang w:val="en-US" w:eastAsia="zh-CN"/>
        </w:rPr>
        <w:t>1年1</w:t>
      </w:r>
      <w:r>
        <w:rPr>
          <w:rFonts w:hint="eastAsia" w:ascii="宋体" w:hAnsi="宋体"/>
          <w:spacing w:val="28"/>
          <w:sz w:val="28"/>
          <w:szCs w:val="28"/>
          <w:u w:val="single"/>
        </w:rPr>
        <w:t>个月</w:t>
      </w:r>
      <w:r>
        <w:rPr>
          <w:rFonts w:hint="eastAsia" w:ascii="宋体" w:hAnsi="宋体"/>
          <w:spacing w:val="28"/>
          <w:sz w:val="28"/>
          <w:szCs w:val="28"/>
          <w:u w:val="single"/>
          <w:lang w:val="en-US" w:eastAsia="zh-CN"/>
        </w:rPr>
        <w:t>4</w:t>
      </w:r>
      <w:r>
        <w:rPr>
          <w:rFonts w:hint="eastAsia" w:ascii="宋体" w:hAnsi="宋体"/>
          <w:spacing w:val="28"/>
          <w:sz w:val="28"/>
          <w:szCs w:val="28"/>
          <w:u w:val="single"/>
        </w:rPr>
        <w:t>天</w:t>
      </w:r>
      <w:r>
        <w:rPr>
          <w:rFonts w:hint="eastAsia" w:ascii="宋体" w:hAnsi="宋体"/>
          <w:spacing w:val="28"/>
          <w:sz w:val="28"/>
          <w:szCs w:val="28"/>
          <w:u w:val="none"/>
        </w:rPr>
        <w:t>。</w:t>
      </w:r>
    </w:p>
    <w:p>
      <w:pPr>
        <w:spacing w:line="540" w:lineRule="exact"/>
        <w:ind w:firstLine="556"/>
        <w:rPr>
          <w:rFonts w:ascii="宋体" w:hAnsi="宋体"/>
          <w:color w:val="000000" w:themeColor="text1"/>
          <w:spacing w:val="28"/>
          <w:sz w:val="28"/>
          <w:szCs w:val="28"/>
        </w:rPr>
      </w:pPr>
      <w:r>
        <w:rPr>
          <w:rFonts w:hint="eastAsia" w:ascii="宋体" w:hAnsi="宋体"/>
          <w:spacing w:val="28"/>
          <w:sz w:val="28"/>
          <w:szCs w:val="28"/>
          <w:u w:val="single"/>
        </w:rPr>
        <w:t>该犯</w:t>
      </w:r>
      <w:r>
        <w:rPr>
          <w:rFonts w:hint="eastAsia" w:ascii="宋体" w:hAnsi="宋体"/>
          <w:color w:val="000000" w:themeColor="text1"/>
          <w:spacing w:val="28"/>
          <w:sz w:val="28"/>
          <w:szCs w:val="28"/>
          <w:u w:val="single"/>
        </w:rPr>
        <w:t>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sz w:val="28"/>
          <w:szCs w:val="28"/>
        </w:rPr>
      </w:pPr>
      <w:r>
        <w:rPr>
          <w:rFonts w:hint="eastAsia" w:ascii="宋体" w:hAnsi="宋体"/>
          <w:color w:val="000000" w:themeColor="text1"/>
          <w:spacing w:val="28"/>
          <w:sz w:val="28"/>
          <w:szCs w:val="28"/>
          <w:u w:val="single"/>
        </w:rPr>
        <w:t>该犯自</w:t>
      </w:r>
      <w:r>
        <w:rPr>
          <w:rFonts w:hint="eastAsia" w:ascii="宋体" w:hAnsi="宋体"/>
          <w:color w:val="000000" w:themeColor="text1"/>
          <w:spacing w:val="28"/>
          <w:sz w:val="28"/>
          <w:szCs w:val="28"/>
          <w:u w:val="single"/>
          <w:lang w:eastAsia="zh-CN"/>
        </w:rPr>
        <w:t>上次减刑</w:t>
      </w:r>
      <w:r>
        <w:rPr>
          <w:rFonts w:hint="eastAsia" w:ascii="宋体" w:hAnsi="宋体"/>
          <w:color w:val="000000" w:themeColor="text1"/>
          <w:spacing w:val="28"/>
          <w:sz w:val="28"/>
          <w:szCs w:val="28"/>
          <w:u w:val="single"/>
        </w:rPr>
        <w:t>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w:t>
      </w:r>
      <w:r>
        <w:rPr>
          <w:rFonts w:hint="eastAsia" w:ascii="宋体" w:hAnsi="宋体"/>
          <w:snapToGrid w:val="0"/>
          <w:sz w:val="28"/>
          <w:szCs w:val="28"/>
          <w:u w:val="single"/>
        </w:rPr>
        <w:t>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sz w:val="28"/>
          <w:szCs w:val="28"/>
        </w:rPr>
        <w:t>。</w:t>
      </w:r>
    </w:p>
    <w:p>
      <w:pPr>
        <w:spacing w:line="540" w:lineRule="exact"/>
        <w:ind w:firstLine="560" w:firstLineChars="200"/>
        <w:rPr>
          <w:rFonts w:ascii="宋体" w:hAnsi="宋体"/>
          <w:snapToGrid w:val="0"/>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w:t>
      </w:r>
      <w:r>
        <w:rPr>
          <w:rFonts w:hint="eastAsia" w:ascii="宋体" w:hAnsi="宋体"/>
          <w:snapToGrid w:val="0"/>
          <w:sz w:val="28"/>
          <w:szCs w:val="28"/>
          <w:u w:val="single"/>
          <w:lang w:eastAsia="zh-CN"/>
        </w:rPr>
        <w:t>机修工</w:t>
      </w:r>
      <w:r>
        <w:rPr>
          <w:rFonts w:hint="eastAsia" w:ascii="宋体" w:hAnsi="宋体"/>
          <w:snapToGrid w:val="0"/>
          <w:sz w:val="28"/>
          <w:szCs w:val="28"/>
          <w:u w:val="single"/>
        </w:rPr>
        <w:t>劳动岗位上，按时完成劳动任务</w:t>
      </w:r>
      <w:r>
        <w:rPr>
          <w:rFonts w:hint="eastAsia" w:ascii="宋体" w:hAnsi="宋体"/>
          <w:snapToGrid w:val="0"/>
          <w:sz w:val="28"/>
          <w:szCs w:val="28"/>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由于该犯改造表现积极，于2023年10月、2024年3月8月分别获得表扬奖励。</w:t>
      </w:r>
    </w:p>
    <w:p>
      <w:pPr>
        <w:spacing w:line="540" w:lineRule="exact"/>
        <w:ind w:firstLine="560" w:firstLineChars="200"/>
        <w:rPr>
          <w:rFonts w:hint="eastAsia" w:asciiTheme="minorEastAsia" w:hAnsiTheme="minorEastAsia"/>
          <w:sz w:val="28"/>
          <w:szCs w:val="28"/>
          <w:u w:val="single"/>
        </w:rPr>
      </w:pPr>
      <w:r>
        <w:rPr>
          <w:rFonts w:hint="eastAsia" w:asciiTheme="minorEastAsia" w:hAnsiTheme="minorEastAsia"/>
          <w:sz w:val="28"/>
          <w:szCs w:val="28"/>
          <w:u w:val="single"/>
        </w:rPr>
        <w:t>综上所述，</w:t>
      </w:r>
      <w:r>
        <w:rPr>
          <w:rFonts w:hint="eastAsia" w:asciiTheme="minorEastAsia" w:hAnsiTheme="minorEastAsia"/>
          <w:sz w:val="28"/>
          <w:szCs w:val="28"/>
          <w:u w:val="single"/>
          <w:lang w:eastAsia="zh-CN"/>
        </w:rPr>
        <w:t>至2025年第一次减刑、假释的行政奖励截止时间（2025年1月21日前已审批签章过且已完成所有法定程序后的表扬奖励、计分考核），</w:t>
      </w:r>
      <w:r>
        <w:rPr>
          <w:rFonts w:hint="eastAsia" w:asciiTheme="minorEastAsia" w:hAnsiTheme="minorEastAsia"/>
          <w:sz w:val="28"/>
          <w:szCs w:val="28"/>
          <w:u w:val="single"/>
        </w:rPr>
        <w:t>该犯获得表扬奖励</w:t>
      </w:r>
      <w:r>
        <w:rPr>
          <w:rFonts w:asciiTheme="minorEastAsia" w:hAnsiTheme="minorEastAsia"/>
          <w:sz w:val="28"/>
          <w:szCs w:val="28"/>
          <w:u w:val="single"/>
        </w:rPr>
        <w:t>3</w:t>
      </w:r>
      <w:r>
        <w:rPr>
          <w:rFonts w:hint="eastAsia" w:asciiTheme="minorEastAsia" w:hAnsiTheme="minorEastAsia"/>
          <w:sz w:val="28"/>
          <w:szCs w:val="28"/>
          <w:u w:val="single"/>
        </w:rPr>
        <w:t>次，改造表现好，可视为确有悔改表现。</w:t>
      </w:r>
    </w:p>
    <w:p>
      <w:pPr>
        <w:keepNext w:val="0"/>
        <w:keepLines w:val="0"/>
        <w:widowControl w:val="0"/>
        <w:suppressLineNumbers w:val="0"/>
        <w:adjustRightInd w:val="0"/>
        <w:spacing w:before="0" w:beforeAutospacing="0" w:after="0" w:afterAutospacing="0" w:line="540" w:lineRule="exact"/>
        <w:ind w:left="0" w:right="0" w:firstLine="560" w:firstLineChars="200"/>
        <w:jc w:val="both"/>
        <w:rPr>
          <w:rFonts w:hint="eastAsia" w:asciiTheme="minorEastAsia" w:hAnsiTheme="minorEastAsia"/>
          <w:sz w:val="28"/>
          <w:szCs w:val="28"/>
          <w:u w:val="single"/>
        </w:rPr>
      </w:pPr>
      <w:r>
        <w:rPr>
          <w:rFonts w:hint="eastAsia" w:ascii="宋体" w:hAnsi="宋体" w:eastAsia="Times New Roman" w:cs="宋体"/>
          <w:color w:val="000000"/>
          <w:kern w:val="0"/>
          <w:sz w:val="28"/>
          <w:szCs w:val="28"/>
          <w:u w:val="single"/>
          <w:lang w:val="en-US" w:eastAsia="zh-CN" w:bidi="ar"/>
        </w:rPr>
        <w:t>该犯入狱前无前科劣迹，服刑期间能够认识犯罪危害，罪责感较强；认为法院定罪准确，量刑适当，在服刑改造期间一贯表现好，家庭关系融洽，亲情关系稳定，有稳定的居所和经济来源，没有再犯罪危险。2025年1月22日经邓州市社区矫正管理局以（2025）邓司矫调评字第043号调查评估意见书，评估意见为：对罪犯庞峰适用社区矫正的社会危险性和社区的影响较小，具备适用社区矫正条件</w:t>
      </w:r>
      <w:r>
        <w:rPr>
          <w:rFonts w:hint="eastAsia" w:ascii="宋体" w:hAnsi="宋体" w:eastAsia="Times New Roman" w:cs="宋体"/>
          <w:color w:val="000000"/>
          <w:kern w:val="0"/>
          <w:sz w:val="28"/>
          <w:szCs w:val="28"/>
          <w:u w:val="none"/>
          <w:lang w:val="en-US" w:eastAsia="zh-CN" w:bidi="ar"/>
        </w:rPr>
        <w:t>。</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宋体" w:hAnsi="宋体" w:eastAsia="宋体" w:cs="宋体"/>
          <w:color w:val="000000"/>
          <w:sz w:val="28"/>
          <w:szCs w:val="28"/>
          <w:u w:val="single"/>
          <w:lang w:val="en-US"/>
        </w:rPr>
      </w:pPr>
      <w:r>
        <w:rPr>
          <w:rFonts w:hint="eastAsia" w:ascii="宋体" w:hAnsi="宋体" w:eastAsia="宋体" w:cs="宋体"/>
          <w:color w:val="000000"/>
          <w:kern w:val="2"/>
          <w:sz w:val="28"/>
          <w:szCs w:val="28"/>
          <w:u w:val="single"/>
          <w:lang w:val="en-US" w:eastAsia="zh-CN" w:bidi="ar"/>
        </w:rPr>
        <w:t>为此，根据《中华人民共和国监狱法》第三十二条、《中华人民共和国刑法》第八十一条、第八十二条、《中华人民共和国刑事诉讼法》第二百七十三条第二款的规定，经监区全体警察集体研究并公示二日、刑罚执行科审查、驻狱检察机关提出检察建议、监狱提请减刑假释评审委员会评审后公示五个工作日、监狱长办公会决定，并书面通报和邀请驻狱检察人员现场监督监区集体研究和评审委员会评审活动等程序，建议对罪犯庞峰予以假释。特提请裁定。</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740" w:firstLineChars="2050"/>
        <w:rPr>
          <w:rFonts w:asciiTheme="minorEastAsia" w:hAnsiTheme="minorEastAsia"/>
          <w:sz w:val="28"/>
          <w:szCs w:val="28"/>
        </w:rPr>
      </w:pPr>
      <w:r>
        <w:rPr>
          <w:rFonts w:hint="eastAsia" w:asciiTheme="minorEastAsia" w:hAnsiTheme="minorEastAsia"/>
          <w:sz w:val="28"/>
          <w:szCs w:val="28"/>
        </w:rPr>
        <w:t>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auto"/>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庞峰</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F90618E"/>
    <w:rsid w:val="31632D5D"/>
    <w:rsid w:val="34C9191F"/>
    <w:rsid w:val="3739463D"/>
    <w:rsid w:val="37B37E5D"/>
    <w:rsid w:val="3A060DA6"/>
    <w:rsid w:val="3A41180E"/>
    <w:rsid w:val="3C31549B"/>
    <w:rsid w:val="3CEE31BA"/>
    <w:rsid w:val="3DD8153E"/>
    <w:rsid w:val="3F8B0ABE"/>
    <w:rsid w:val="41B744F0"/>
    <w:rsid w:val="44A029CB"/>
    <w:rsid w:val="47787CD8"/>
    <w:rsid w:val="48C202D4"/>
    <w:rsid w:val="49142B6B"/>
    <w:rsid w:val="49167C5F"/>
    <w:rsid w:val="4BAE1154"/>
    <w:rsid w:val="4BE45A02"/>
    <w:rsid w:val="4C6134F4"/>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70FD5C4E"/>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