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179</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魏家新</w:t>
      </w:r>
      <w:r>
        <w:rPr>
          <w:rFonts w:hint="eastAsia" w:ascii="楷体_GB2312" w:hAnsi="宋体" w:eastAsia="楷体_GB2312"/>
          <w:color w:val="auto"/>
          <w:spacing w:val="28"/>
          <w:szCs w:val="28"/>
          <w:u w:val="none" w:color="auto"/>
        </w:rPr>
        <w:t>，男，1973年10月1</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日出生，汉族，原户籍所在地河南省镇平县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因猥亵儿童罪经河南省镇平县人民法院于2023年4月27日以(2023)豫1324刑初192号刑事判决书判处有期徒刑2年6个月；附加刑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原审被告人上诉，经河南省南阳市中级人民法院于2023年6月9日以（2023）豫13刑终399号刑事裁定书裁定驳回上诉，维持原判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刑期自2023年3月8日起至2025年9月7日止；于2023年8月21日送我狱服刑改造。服刑期间执行刑期变动情况：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5</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7天。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于24年6月11月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表扬奖励2</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魏家新</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三个月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魏家新</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553F3F8F"/>
    <w:rsid w:val="5FA367DE"/>
    <w:rsid w:val="5FFC64E2"/>
    <w:rsid w:val="71B1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854</Characters>
  <Lines>0</Lines>
  <Paragraphs>0</Paragraphs>
  <TotalTime>0</TotalTime>
  <ScaleCrop>false</ScaleCrop>
  <LinksUpToDate>false</LinksUpToDate>
  <CharactersWithSpaces>889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4ADD96FFBA1243EAA18A2A279E536C33</vt:lpwstr>
  </property>
</Properties>
</file>