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329</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王军，</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1999</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18</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河南省正阳县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因掩饰、隐瞒犯罪所得</w:t>
      </w:r>
      <w:r>
        <w:rPr>
          <w:rFonts w:hint="eastAsia" w:ascii="楷体_GB2312" w:eastAsia="楷体_GB2312"/>
          <w:spacing w:val="28"/>
          <w:szCs w:val="28"/>
          <w:u w:val="none" w:color="auto"/>
          <w:lang w:val="zh-CN" w:eastAsia="zh-CN"/>
        </w:rPr>
        <w:t>罪</w:t>
      </w:r>
      <w:r>
        <w:rPr>
          <w:rFonts w:hint="eastAsia" w:ascii="楷体_GB2312" w:eastAsia="楷体_GB2312"/>
          <w:spacing w:val="28"/>
          <w:szCs w:val="28"/>
          <w:u w:val="none" w:color="auto"/>
          <w:lang w:val="en-US" w:eastAsia="zh-CN"/>
        </w:rPr>
        <w:t>经河南省正阳县人民法院于2022年12月27日以（2022）豫1724刑初461号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三年，附加罚金10000元、违法所得3800元。因该犯不服一审判决，提出上诉，河南省驻马店市中级人民法院于</w:t>
      </w:r>
      <w:r>
        <w:rPr>
          <w:rFonts w:hint="eastAsia" w:ascii="楷体_GB2312" w:eastAsia="楷体_GB2312"/>
          <w:color w:val="auto"/>
          <w:spacing w:val="28"/>
          <w:szCs w:val="28"/>
          <w:u w:val="none" w:color="auto"/>
          <w:lang w:val="en-US" w:eastAsia="zh-CN"/>
        </w:rPr>
        <w:t>2023年3月16日以（2023）豫17刑终142号刑事裁定</w:t>
      </w:r>
      <w:r>
        <w:rPr>
          <w:rFonts w:hint="eastAsia" w:ascii="楷体_GB2312" w:eastAsia="楷体_GB2312"/>
          <w:spacing w:val="28"/>
          <w:szCs w:val="28"/>
          <w:u w:val="none" w:color="auto"/>
          <w:lang w:val="en-US" w:eastAsia="zh-CN"/>
        </w:rPr>
        <w:t>书裁定：驳回上诉，维持原判。刑期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7</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17</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8个月16</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2024年5月、10月；2025年3月分别</w:t>
      </w:r>
      <w:r>
        <w:rPr>
          <w:rFonts w:hint="eastAsia" w:ascii="楷体_GB2312" w:eastAsia="楷体_GB2312"/>
          <w:szCs w:val="28"/>
          <w:u w:val="single" w:color="auto"/>
        </w:rPr>
        <w:t>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3</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王军</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六个月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王军</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F0B9D"/>
    <w:rsid w:val="320F0B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2025-06-27T01:13:00Z</dcterms:created>
  <dc:creator>Think</dc:creator>
  <cp:lastModifiedBy>Think</cp:lastModifiedBy>
  <dcterms:modified xsi:type="dcterms:W3CDTF">2025-06-27T01:13:49Z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