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7" w:line="500" w:lineRule="exact"/>
        <w:ind w:left="566" w:leftChars="202" w:right="1476" w:firstLine="1495" w:firstLineChars="250"/>
        <w:rPr>
          <w:rFonts w:ascii="宋体"/>
          <w:b/>
          <w:spacing w:val="28"/>
          <w:sz w:val="54"/>
        </w:rPr>
      </w:pPr>
      <w:r>
        <w:rPr>
          <w:rFonts w:hint="eastAsia" w:ascii="宋体"/>
          <w:b/>
          <w:spacing w:val="28"/>
          <w:sz w:val="54"/>
        </w:rPr>
        <w:t>提请假释建议书</w:t>
      </w:r>
    </w:p>
    <w:p>
      <w:pPr>
        <w:wordWrap w:val="0"/>
        <w:spacing w:after="277" w:line="500" w:lineRule="exact"/>
        <w:ind w:left="566" w:right="280"/>
        <w:jc w:val="right"/>
        <w:rPr>
          <w:rFonts w:ascii="华文楷体" w:hAnsi="华文楷体" w:eastAsia="华文楷体"/>
          <w:szCs w:val="28"/>
        </w:rPr>
      </w:pPr>
      <w:r>
        <w:rPr>
          <w:rFonts w:hint="eastAsia" w:ascii="华文楷体" w:hAnsi="华文楷体" w:eastAsia="华文楷体"/>
          <w:szCs w:val="28"/>
        </w:rPr>
        <w:t>（2025）宛狱假字第21号</w:t>
      </w:r>
    </w:p>
    <w:p>
      <w:pPr>
        <w:spacing w:after="277" w:line="500" w:lineRule="exact"/>
        <w:ind w:firstLine="672" w:firstLineChars="200"/>
        <w:jc w:val="left"/>
        <w:rPr>
          <w:rFonts w:ascii="华文楷体" w:hAnsi="华文楷体" w:eastAsia="华文楷体"/>
          <w:szCs w:val="28"/>
        </w:rPr>
      </w:pPr>
      <w:r>
        <w:rPr>
          <w:rFonts w:hint="eastAsia" w:ascii="华文楷体" w:hAnsi="华文楷体" w:eastAsia="华文楷体"/>
          <w:spacing w:val="28"/>
          <w:szCs w:val="28"/>
        </w:rPr>
        <w:t>罪犯王宗晖，男，2000年8月1日出生，汉族，原户籍</w:t>
      </w:r>
      <w:r>
        <w:rPr>
          <w:rFonts w:hint="eastAsia" w:ascii="华文楷体" w:hAnsi="华文楷体" w:eastAsia="华文楷体"/>
          <w:color w:val="auto"/>
          <w:spacing w:val="28"/>
          <w:szCs w:val="28"/>
        </w:rPr>
        <w:t>所在地河北省玉田县；因掩饰、隐瞒犯罪所得罪经河南省汝南县人民法院于2022年11月24日以（2022）豫1727刑初512号刑事判决书判处有期徒刑4年，并处罚金人民币一万元，刑期自2022年8月3日至2026年8月2日止</w:t>
      </w:r>
      <w:r>
        <w:rPr>
          <w:rFonts w:hint="eastAsia" w:ascii="华文楷体" w:hAnsi="华文楷体" w:eastAsia="华文楷体"/>
          <w:color w:val="auto"/>
          <w:szCs w:val="28"/>
        </w:rPr>
        <w:t>。</w:t>
      </w:r>
      <w:r>
        <w:rPr>
          <w:rFonts w:hint="eastAsia" w:ascii="华文楷体" w:hAnsi="华文楷体" w:eastAsia="华文楷体"/>
          <w:color w:val="auto"/>
          <w:spacing w:val="28"/>
          <w:szCs w:val="28"/>
        </w:rPr>
        <w:t>于2023年3月17日送至我狱服刑改造。服刑期间执行刑期变动情况：</w:t>
      </w:r>
      <w:r>
        <w:rPr>
          <w:rFonts w:hint="eastAsia" w:ascii="华文楷体" w:hAnsi="华文楷体" w:eastAsia="华文楷体"/>
          <w:color w:val="auto"/>
          <w:szCs w:val="28"/>
        </w:rPr>
        <w:t>无</w:t>
      </w:r>
      <w:r>
        <w:rPr>
          <w:rFonts w:hint="eastAsia" w:ascii="华文楷体" w:hAnsi="华文楷体" w:eastAsia="华文楷体"/>
          <w:color w:val="auto"/>
          <w:spacing w:val="28"/>
          <w:szCs w:val="28"/>
        </w:rPr>
        <w:t>。现余刑1年1个月零8天。</w:t>
      </w:r>
    </w:p>
    <w:p>
      <w:pPr>
        <w:adjustRightInd w:val="0"/>
        <w:snapToGrid w:val="0"/>
        <w:spacing w:before="277" w:line="400" w:lineRule="exact"/>
        <w:ind w:firstLine="555"/>
        <w:rPr>
          <w:rFonts w:ascii="华文楷体" w:hAnsi="华文楷体" w:eastAsia="华文楷体"/>
          <w:spacing w:val="28"/>
          <w:szCs w:val="28"/>
        </w:rPr>
      </w:pPr>
      <w:r>
        <w:rPr>
          <w:rFonts w:hint="eastAsia" w:ascii="华文楷体" w:hAnsi="华文楷体" w:eastAsia="华文楷体"/>
          <w:spacing w:val="28"/>
          <w:szCs w:val="28"/>
        </w:rPr>
        <w:t>该犯在近期</w:t>
      </w:r>
      <w:r>
        <w:rPr>
          <w:rFonts w:hint="eastAsia" w:ascii="华文楷体" w:hAnsi="华文楷体" w:eastAsia="华文楷体"/>
          <w:spacing w:val="28"/>
          <w:szCs w:val="28"/>
          <w:u w:val="single"/>
        </w:rPr>
        <w:t>确有悔改表现</w:t>
      </w:r>
      <w:r>
        <w:rPr>
          <w:rFonts w:hint="eastAsia" w:ascii="华文楷体" w:hAnsi="华文楷体" w:eastAsia="华文楷体"/>
          <w:spacing w:val="28"/>
          <w:szCs w:val="28"/>
        </w:rPr>
        <w:t>，具体事实如下：</w:t>
      </w:r>
    </w:p>
    <w:p>
      <w:pPr>
        <w:adjustRightInd w:val="0"/>
        <w:snapToGrid w:val="0"/>
        <w:spacing w:before="277" w:line="440" w:lineRule="exact"/>
        <w:ind w:firstLine="555"/>
        <w:rPr>
          <w:rFonts w:ascii="华文楷体" w:hAnsi="华文楷体" w:eastAsia="华文楷体"/>
          <w:snapToGrid w:val="0"/>
          <w:szCs w:val="28"/>
        </w:rPr>
      </w:pPr>
      <w:r>
        <w:rPr>
          <w:rFonts w:hint="eastAsia" w:ascii="华文楷体" w:hAnsi="华文楷体" w:eastAsia="华文楷体"/>
          <w:spacing w:val="28"/>
          <w:szCs w:val="28"/>
          <w:u w:val="single"/>
        </w:rPr>
        <w:t>该犯</w:t>
      </w:r>
      <w:r>
        <w:rPr>
          <w:rFonts w:hint="eastAsia" w:ascii="华文楷体" w:hAnsi="华文楷体" w:eastAsia="华文楷体"/>
          <w:szCs w:val="28"/>
          <w:u w:val="single"/>
        </w:rPr>
        <w:t>自入监以来</w:t>
      </w:r>
      <w:r>
        <w:rPr>
          <w:rFonts w:hint="eastAsia" w:ascii="华文楷体" w:hAnsi="华文楷体" w:eastAsia="华文楷体"/>
          <w:spacing w:val="28"/>
          <w:szCs w:val="28"/>
          <w:u w:val="single"/>
        </w:rPr>
        <w:t>，</w:t>
      </w:r>
      <w:r>
        <w:rPr>
          <w:rFonts w:hint="eastAsia" w:ascii="华文楷体" w:hAnsi="华文楷体" w:eastAsia="华文楷体"/>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pPr>
        <w:adjustRightInd w:val="0"/>
        <w:snapToGrid w:val="0"/>
        <w:spacing w:line="400" w:lineRule="exact"/>
        <w:ind w:firstLine="560" w:firstLineChars="200"/>
        <w:rPr>
          <w:rFonts w:ascii="华文楷体" w:hAnsi="华文楷体" w:eastAsia="华文楷体"/>
          <w:snapToGrid w:val="0"/>
          <w:szCs w:val="28"/>
        </w:rPr>
      </w:pPr>
      <w:r>
        <w:rPr>
          <w:rFonts w:hint="eastAsia" w:ascii="华文楷体" w:hAnsi="华文楷体" w:eastAsia="华文楷体"/>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p>
    <w:p>
      <w:pPr>
        <w:adjustRightInd w:val="0"/>
        <w:snapToGrid w:val="0"/>
        <w:spacing w:line="440" w:lineRule="exact"/>
        <w:ind w:firstLine="420" w:firstLineChars="150"/>
        <w:rPr>
          <w:rFonts w:ascii="华文楷体" w:hAnsi="华文楷体" w:eastAsia="华文楷体"/>
          <w:spacing w:val="28"/>
          <w:szCs w:val="28"/>
          <w:u w:val="single"/>
        </w:rPr>
      </w:pPr>
      <w:r>
        <w:rPr>
          <w:rFonts w:hint="eastAsia" w:ascii="华文楷体" w:hAnsi="华文楷体" w:eastAsia="华文楷体"/>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pPr>
        <w:adjustRightInd w:val="0"/>
        <w:snapToGrid w:val="0"/>
        <w:spacing w:line="440" w:lineRule="exact"/>
        <w:ind w:firstLine="560" w:firstLineChars="200"/>
        <w:rPr>
          <w:rFonts w:ascii="华文楷体" w:hAnsi="华文楷体" w:eastAsia="华文楷体"/>
          <w:snapToGrid w:val="0"/>
          <w:szCs w:val="28"/>
          <w:u w:val="single"/>
        </w:rPr>
      </w:pPr>
      <w:r>
        <w:rPr>
          <w:rFonts w:hint="eastAsia" w:ascii="华文楷体" w:hAnsi="华文楷体" w:eastAsia="华文楷体"/>
          <w:snapToGrid w:val="0"/>
          <w:szCs w:val="28"/>
          <w:u w:val="single"/>
        </w:rPr>
        <w:t>在劳动改造中，该犯能树立正确的劳动改造观，决心用劳动的汗水净化自己的灵魂，在传感器加工劳动岗位上，能够积极参加劳动，努力完成劳动任务。</w:t>
      </w:r>
    </w:p>
    <w:p>
      <w:pPr>
        <w:adjustRightInd w:val="0"/>
        <w:snapToGrid w:val="0"/>
        <w:spacing w:line="0" w:lineRule="atLeast"/>
        <w:ind w:firstLine="504" w:firstLineChars="150"/>
        <w:rPr>
          <w:rFonts w:ascii="华文楷体" w:hAnsi="华文楷体" w:eastAsia="华文楷体"/>
          <w:szCs w:val="28"/>
          <w:u w:val="single"/>
        </w:rPr>
      </w:pPr>
      <w:r>
        <w:rPr>
          <w:rFonts w:hint="eastAsia" w:ascii="华文楷体" w:hAnsi="华文楷体" w:eastAsia="华文楷体"/>
          <w:spacing w:val="28"/>
          <w:szCs w:val="28"/>
          <w:u w:val="single"/>
        </w:rPr>
        <w:t>由于该犯改造表现积极，于2024年1月、2024年6月、2024年11月分别获得表扬奖励</w:t>
      </w:r>
      <w:r>
        <w:rPr>
          <w:rFonts w:hint="eastAsia" w:ascii="华文楷体" w:hAnsi="华文楷体" w:eastAsia="华文楷体"/>
          <w:szCs w:val="28"/>
          <w:u w:val="single"/>
        </w:rPr>
        <w:t>。</w:t>
      </w:r>
    </w:p>
    <w:p>
      <w:pPr>
        <w:tabs>
          <w:tab w:val="left" w:pos="1944"/>
        </w:tabs>
        <w:adjustRightInd w:val="0"/>
        <w:snapToGrid w:val="0"/>
        <w:spacing w:line="440" w:lineRule="exact"/>
        <w:ind w:firstLine="560" w:firstLineChars="200"/>
        <w:rPr>
          <w:rFonts w:ascii="华文楷体" w:hAnsi="华文楷体" w:eastAsia="华文楷体"/>
          <w:szCs w:val="28"/>
          <w:u w:val="single"/>
        </w:rPr>
      </w:pPr>
      <w:r>
        <w:rPr>
          <w:rFonts w:hint="eastAsia" w:ascii="华文楷体" w:hAnsi="华文楷体" w:eastAsia="华文楷体"/>
          <w:szCs w:val="28"/>
          <w:u w:val="single"/>
        </w:rPr>
        <w:t>综上所述，至本次提请减刑假释确定的考核截止日期2025年3月31日（包括2025年4月21日前已审批签章过且已完成所有法定程序后的表扬奖励、计分考核），该犯获得表扬奖励3次，改造表现较好，可视为近期确有悔改表现。</w:t>
      </w:r>
    </w:p>
    <w:p>
      <w:pPr>
        <w:tabs>
          <w:tab w:val="left" w:pos="1944"/>
        </w:tabs>
        <w:adjustRightInd w:val="0"/>
        <w:snapToGrid w:val="0"/>
        <w:spacing w:line="440" w:lineRule="exact"/>
        <w:ind w:firstLine="560" w:firstLineChars="200"/>
        <w:rPr>
          <w:rFonts w:ascii="华文楷体" w:hAnsi="华文楷体" w:eastAsia="华文楷体"/>
          <w:snapToGrid w:val="0"/>
          <w:szCs w:val="28"/>
          <w:u w:val="single"/>
        </w:rPr>
      </w:pPr>
      <w:r>
        <w:rPr>
          <w:rFonts w:hint="eastAsia" w:ascii="华文楷体" w:hAnsi="华文楷体" w:eastAsia="华文楷体"/>
          <w:szCs w:val="28"/>
          <w:u w:val="single"/>
        </w:rPr>
        <w:t>该犯生理、心理状况表现正常；犯罪后能如实供述自己的犯罪罪行，自愿认罪认罚，在共同犯罪中起次要作用，是从犯；在服刑改造中一贯表现好，确有悔改表现；通过走访调查该犯的家属及村委干部一致认为，该犯王宗晖性格内向，家庭关系和睦，与邻里关系相处融洽，平时在村表现良好，如果王宗晖适用非监禁刑罚回村接受监管，对村影响不大，村里具备帮教能力，能建立帮教小组，愿意配合监管部门做好帮教和协助监管工作；该犯假释后生活确有着落，没有再犯罪危险。综合以上情况，评估意见为:罪犯王宗晖具备监管条件，适宜社区矫正。</w:t>
      </w:r>
      <w:r>
        <w:rPr>
          <w:rFonts w:hint="eastAsia" w:ascii="华文楷体" w:hAnsi="华文楷体" w:eastAsia="华文楷体"/>
          <w:szCs w:val="28"/>
        </w:rPr>
        <w:t xml:space="preserve">                  </w:t>
      </w:r>
    </w:p>
    <w:p>
      <w:pPr>
        <w:adjustRightInd w:val="0"/>
        <w:snapToGrid w:val="0"/>
        <w:spacing w:line="400" w:lineRule="exact"/>
        <w:ind w:firstLine="504" w:firstLineChars="150"/>
        <w:rPr>
          <w:rFonts w:ascii="华文楷体" w:hAnsi="华文楷体" w:eastAsia="华文楷体"/>
          <w:szCs w:val="28"/>
        </w:rPr>
      </w:pPr>
      <w:r>
        <w:rPr>
          <w:rFonts w:hint="eastAsia" w:ascii="华文楷体" w:hAnsi="华文楷体" w:eastAsia="华文楷体"/>
          <w:spacing w:val="28"/>
          <w:szCs w:val="28"/>
        </w:rPr>
        <w:t>为此，根据《中华人民共和国监狱法》第</w:t>
      </w:r>
      <w:r>
        <w:rPr>
          <w:rFonts w:hint="eastAsia" w:ascii="华文楷体" w:hAnsi="华文楷体" w:eastAsia="华文楷体"/>
          <w:spacing w:val="28"/>
          <w:szCs w:val="28"/>
          <w:u w:val="single"/>
        </w:rPr>
        <w:t>三十二</w:t>
      </w:r>
      <w:r>
        <w:rPr>
          <w:rFonts w:hint="eastAsia" w:ascii="华文楷体" w:hAnsi="华文楷体" w:eastAsia="华文楷体"/>
          <w:spacing w:val="28"/>
          <w:szCs w:val="28"/>
        </w:rPr>
        <w:t>条、《中华人民共和国刑法》第</w:t>
      </w:r>
      <w:r>
        <w:rPr>
          <w:rFonts w:hint="eastAsia" w:ascii="华文楷体" w:hAnsi="华文楷体" w:eastAsia="华文楷体"/>
          <w:spacing w:val="28"/>
          <w:szCs w:val="28"/>
          <w:u w:val="single"/>
        </w:rPr>
        <w:t>八十一</w:t>
      </w:r>
      <w:r>
        <w:rPr>
          <w:rFonts w:hint="eastAsia" w:ascii="华文楷体" w:hAnsi="华文楷体" w:eastAsia="华文楷体"/>
          <w:spacing w:val="28"/>
          <w:szCs w:val="28"/>
        </w:rPr>
        <w:t>条、第</w:t>
      </w:r>
      <w:r>
        <w:rPr>
          <w:rFonts w:hint="eastAsia" w:ascii="华文楷体" w:hAnsi="华文楷体" w:eastAsia="华文楷体"/>
          <w:spacing w:val="28"/>
          <w:szCs w:val="28"/>
          <w:u w:val="single"/>
        </w:rPr>
        <w:t>八十二</w:t>
      </w:r>
      <w:r>
        <w:rPr>
          <w:rFonts w:hint="eastAsia" w:ascii="华文楷体" w:hAnsi="华文楷体" w:eastAsia="华文楷体"/>
          <w:spacing w:val="28"/>
          <w:szCs w:val="28"/>
        </w:rPr>
        <w:t>条、《中华人民共和国刑事诉讼法》第</w:t>
      </w:r>
      <w:r>
        <w:rPr>
          <w:rFonts w:hint="eastAsia" w:ascii="华文楷体" w:hAnsi="华文楷体" w:eastAsia="华文楷体"/>
          <w:spacing w:val="28"/>
          <w:szCs w:val="28"/>
          <w:u w:val="single"/>
        </w:rPr>
        <w:t>二百七十三</w:t>
      </w:r>
      <w:r>
        <w:rPr>
          <w:rFonts w:hint="eastAsia" w:ascii="华文楷体" w:hAnsi="华文楷体" w:eastAsia="华文楷体"/>
          <w:spacing w:val="28"/>
          <w:szCs w:val="28"/>
        </w:rPr>
        <w:t>条第</w:t>
      </w:r>
      <w:r>
        <w:rPr>
          <w:rFonts w:hint="eastAsia" w:ascii="华文楷体" w:hAnsi="华文楷体" w:eastAsia="华文楷体"/>
          <w:spacing w:val="28"/>
          <w:szCs w:val="28"/>
          <w:u w:val="single"/>
        </w:rPr>
        <w:t>二</w:t>
      </w:r>
      <w:r>
        <w:rPr>
          <w:rFonts w:hint="eastAsia" w:ascii="华文楷体" w:hAnsi="华文楷体" w:eastAsia="华文楷体"/>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华文楷体" w:hAnsi="华文楷体" w:eastAsia="华文楷体"/>
          <w:szCs w:val="28"/>
          <w:u w:val="single"/>
        </w:rPr>
        <w:t>王宗晖</w:t>
      </w:r>
      <w:r>
        <w:rPr>
          <w:rFonts w:hint="eastAsia" w:ascii="华文楷体" w:hAnsi="华文楷体" w:eastAsia="华文楷体"/>
          <w:spacing w:val="28"/>
          <w:szCs w:val="28"/>
        </w:rPr>
        <w:t>予以</w:t>
      </w:r>
      <w:r>
        <w:rPr>
          <w:rFonts w:hint="eastAsia" w:ascii="华文楷体" w:hAnsi="华文楷体" w:eastAsia="华文楷体"/>
          <w:spacing w:val="28"/>
          <w:szCs w:val="28"/>
          <w:u w:val="single"/>
        </w:rPr>
        <w:t>假释</w:t>
      </w:r>
      <w:r>
        <w:rPr>
          <w:rFonts w:hint="eastAsia" w:ascii="华文楷体" w:hAnsi="华文楷体" w:eastAsia="华文楷体"/>
          <w:spacing w:val="28"/>
          <w:szCs w:val="28"/>
        </w:rPr>
        <w:t>。特提请裁定。</w:t>
      </w:r>
    </w:p>
    <w:p>
      <w:pPr>
        <w:adjustRightInd w:val="0"/>
        <w:snapToGrid w:val="0"/>
        <w:spacing w:line="400" w:lineRule="exact"/>
        <w:rPr>
          <w:rFonts w:ascii="华文楷体" w:hAnsi="华文楷体" w:eastAsia="华文楷体"/>
          <w:spacing w:val="28"/>
          <w:szCs w:val="28"/>
        </w:rPr>
      </w:pPr>
    </w:p>
    <w:p>
      <w:pPr>
        <w:adjustRightInd w:val="0"/>
        <w:snapToGrid w:val="0"/>
        <w:spacing w:line="400" w:lineRule="exact"/>
        <w:ind w:firstLine="504" w:firstLineChars="150"/>
        <w:rPr>
          <w:rFonts w:ascii="华文楷体" w:hAnsi="华文楷体" w:eastAsia="华文楷体"/>
          <w:szCs w:val="28"/>
        </w:rPr>
      </w:pPr>
      <w:r>
        <w:rPr>
          <w:rFonts w:hint="eastAsia" w:ascii="华文楷体" w:hAnsi="华文楷体" w:eastAsia="华文楷体"/>
          <w:spacing w:val="28"/>
          <w:szCs w:val="28"/>
        </w:rPr>
        <w:t>　此 致</w:t>
      </w:r>
    </w:p>
    <w:p>
      <w:pPr>
        <w:spacing w:line="500" w:lineRule="exact"/>
        <w:rPr>
          <w:rFonts w:ascii="华文楷体" w:hAnsi="华文楷体" w:eastAsia="华文楷体"/>
          <w:szCs w:val="28"/>
        </w:rPr>
      </w:pPr>
      <w:r>
        <w:rPr>
          <w:rFonts w:hint="eastAsia" w:ascii="华文楷体" w:hAnsi="华文楷体" w:eastAsia="华文楷体"/>
          <w:spacing w:val="28"/>
          <w:szCs w:val="28"/>
          <w:u w:val="single"/>
        </w:rPr>
        <w:t>南阳市中级</w:t>
      </w:r>
      <w:r>
        <w:rPr>
          <w:rFonts w:hint="eastAsia" w:ascii="华文楷体" w:hAnsi="华文楷体" w:eastAsia="华文楷体"/>
          <w:spacing w:val="28"/>
          <w:szCs w:val="28"/>
        </w:rPr>
        <w:t>人民法院</w:t>
      </w:r>
    </w:p>
    <w:p>
      <w:pPr>
        <w:spacing w:line="500" w:lineRule="exact"/>
        <w:ind w:firstLine="4032" w:firstLineChars="1200"/>
        <w:rPr>
          <w:rFonts w:ascii="华文楷体" w:hAnsi="华文楷体" w:eastAsia="华文楷体"/>
          <w:spacing w:val="28"/>
          <w:szCs w:val="28"/>
        </w:rPr>
      </w:pPr>
    </w:p>
    <w:p>
      <w:pPr>
        <w:spacing w:line="500" w:lineRule="exact"/>
        <w:ind w:firstLine="4368" w:firstLineChars="1300"/>
        <w:rPr>
          <w:rFonts w:ascii="华文楷体" w:hAnsi="华文楷体" w:eastAsia="华文楷体"/>
          <w:spacing w:val="28"/>
          <w:szCs w:val="28"/>
        </w:rPr>
      </w:pPr>
      <w:bookmarkStart w:id="0" w:name="_GoBack"/>
      <w:bookmarkEnd w:id="0"/>
      <w:r>
        <w:rPr>
          <w:rFonts w:hint="eastAsia" w:ascii="华文楷体" w:hAnsi="华文楷体" w:eastAsia="华文楷体"/>
          <w:spacing w:val="28"/>
          <w:szCs w:val="28"/>
        </w:rPr>
        <w:t>　 河南省南阳监狱</w:t>
      </w:r>
    </w:p>
    <w:p>
      <w:pPr>
        <w:spacing w:line="500" w:lineRule="exact"/>
        <w:ind w:firstLine="5712" w:firstLineChars="1700"/>
        <w:rPr>
          <w:rFonts w:ascii="华文楷体" w:hAnsi="华文楷体" w:eastAsia="华文楷体"/>
          <w:szCs w:val="28"/>
        </w:rPr>
      </w:pPr>
      <w:r>
        <w:rPr>
          <w:rFonts w:hint="eastAsia" w:ascii="华文楷体" w:hAnsi="华文楷体" w:eastAsia="华文楷体"/>
          <w:spacing w:val="28"/>
          <w:szCs w:val="28"/>
        </w:rPr>
        <w:t>（公章）</w:t>
      </w:r>
    </w:p>
    <w:p>
      <w:pPr>
        <w:spacing w:line="500" w:lineRule="exact"/>
        <w:rPr>
          <w:rFonts w:ascii="华文楷体" w:hAnsi="华文楷体" w:eastAsia="华文楷体"/>
          <w:spacing w:val="28"/>
          <w:szCs w:val="28"/>
        </w:rPr>
      </w:pPr>
      <w:r>
        <w:rPr>
          <w:rFonts w:hint="eastAsia" w:ascii="华文楷体" w:hAnsi="华文楷体" w:eastAsia="华文楷体"/>
          <w:spacing w:val="28"/>
          <w:szCs w:val="28"/>
        </w:rPr>
        <w:t xml:space="preserve">　　　　　　　　　　    　 </w:t>
      </w:r>
      <w:r>
        <w:rPr>
          <w:rFonts w:hint="eastAsia" w:ascii="华文楷体" w:hAnsi="华文楷体" w:eastAsia="华文楷体"/>
          <w:spacing w:val="28"/>
          <w:szCs w:val="28"/>
          <w:u w:val="single"/>
        </w:rPr>
        <w:t>二0二五</w:t>
      </w:r>
      <w:r>
        <w:rPr>
          <w:rFonts w:hint="eastAsia" w:ascii="华文楷体" w:hAnsi="华文楷体" w:eastAsia="华文楷体"/>
          <w:spacing w:val="28"/>
          <w:szCs w:val="28"/>
        </w:rPr>
        <w:t>年</w:t>
      </w:r>
      <w:r>
        <w:rPr>
          <w:rFonts w:hint="eastAsia" w:ascii="华文楷体" w:hAnsi="华文楷体" w:eastAsia="华文楷体"/>
          <w:spacing w:val="28"/>
          <w:szCs w:val="28"/>
          <w:u w:val="single"/>
        </w:rPr>
        <w:t>六</w:t>
      </w:r>
      <w:r>
        <w:rPr>
          <w:rFonts w:hint="eastAsia" w:ascii="华文楷体" w:hAnsi="华文楷体" w:eastAsia="华文楷体"/>
          <w:spacing w:val="28"/>
          <w:szCs w:val="28"/>
        </w:rPr>
        <w:t>月</w:t>
      </w:r>
      <w:r>
        <w:rPr>
          <w:rFonts w:hint="eastAsia" w:ascii="华文楷体" w:hAnsi="华文楷体" w:eastAsia="华文楷体"/>
          <w:spacing w:val="28"/>
          <w:szCs w:val="28"/>
          <w:u w:val="single"/>
        </w:rPr>
        <w:t>二十五</w:t>
      </w:r>
      <w:r>
        <w:rPr>
          <w:rFonts w:hint="eastAsia" w:ascii="华文楷体" w:hAnsi="华文楷体" w:eastAsia="华文楷体"/>
          <w:spacing w:val="28"/>
          <w:szCs w:val="28"/>
        </w:rPr>
        <w:t>日</w:t>
      </w:r>
    </w:p>
    <w:p>
      <w:pPr>
        <w:spacing w:line="500" w:lineRule="exact"/>
        <w:rPr>
          <w:rFonts w:ascii="华文楷体" w:hAnsi="华文楷体" w:eastAsia="华文楷体"/>
          <w:spacing w:val="28"/>
          <w:szCs w:val="28"/>
        </w:rPr>
      </w:pPr>
    </w:p>
    <w:p>
      <w:r>
        <w:rPr>
          <w:rFonts w:hint="eastAsia" w:ascii="华文楷体" w:hAnsi="华文楷体" w:eastAsia="华文楷体"/>
          <w:spacing w:val="28"/>
          <w:szCs w:val="28"/>
        </w:rPr>
        <w:t>附：罪犯</w:t>
      </w:r>
      <w:r>
        <w:rPr>
          <w:rFonts w:hint="eastAsia" w:ascii="华文楷体" w:hAnsi="华文楷体" w:eastAsia="华文楷体"/>
          <w:spacing w:val="28"/>
          <w:szCs w:val="28"/>
          <w:u w:val="single"/>
        </w:rPr>
        <w:t>王宗晖</w:t>
      </w:r>
      <w:r>
        <w:rPr>
          <w:rFonts w:hint="eastAsia" w:ascii="华文楷体" w:hAnsi="华文楷体" w:eastAsia="华文楷体"/>
          <w:spacing w:val="28"/>
          <w:szCs w:val="28"/>
        </w:rPr>
        <w:t>卷宗材料共</w:t>
      </w:r>
      <w:r>
        <w:rPr>
          <w:rFonts w:hint="eastAsia" w:ascii="华文楷体" w:hAnsi="华文楷体" w:eastAsia="华文楷体"/>
          <w:spacing w:val="28"/>
          <w:szCs w:val="28"/>
          <w:u w:val="single"/>
        </w:rPr>
        <w:t>１</w:t>
      </w:r>
      <w:r>
        <w:rPr>
          <w:rFonts w:hint="eastAsia" w:ascii="华文楷体" w:hAnsi="华文楷体" w:eastAsia="华文楷体"/>
          <w:spacing w:val="28"/>
          <w:szCs w:val="28"/>
        </w:rPr>
        <w:t>卷</w:t>
      </w:r>
      <w:r>
        <w:rPr>
          <w:rFonts w:hint="eastAsia" w:ascii="华文楷体" w:hAnsi="华文楷体" w:eastAsia="华文楷体"/>
          <w:spacing w:val="28"/>
          <w:szCs w:val="28"/>
          <w:u w:val="single"/>
        </w:rPr>
        <w:t>１</w:t>
      </w:r>
      <w:r>
        <w:rPr>
          <w:rFonts w:hint="eastAsia" w:ascii="华文楷体" w:hAnsi="华文楷体" w:eastAsia="华文楷体"/>
          <w:spacing w:val="28"/>
          <w:szCs w:val="28"/>
        </w:rPr>
        <w:t>册</w:t>
      </w:r>
      <w:r>
        <w:rPr>
          <w:rFonts w:hint="eastAsia" w:ascii="华文楷体" w:hAnsi="华文楷体" w:eastAsia="华文楷体"/>
          <w:spacing w:val="28"/>
          <w:szCs w:val="28"/>
          <w:u w:val="single"/>
        </w:rPr>
        <w:t xml:space="preserve">     </w:t>
      </w:r>
      <w:r>
        <w:rPr>
          <w:rFonts w:hint="eastAsia" w:ascii="华文楷体" w:hAnsi="华文楷体" w:eastAsia="华文楷体"/>
          <w:spacing w:val="28"/>
          <w:szCs w:val="28"/>
        </w:rPr>
        <w:t>页。</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070F"/>
    <w:rsid w:val="00145CAF"/>
    <w:rsid w:val="00166DE9"/>
    <w:rsid w:val="00183266"/>
    <w:rsid w:val="0035070F"/>
    <w:rsid w:val="00387561"/>
    <w:rsid w:val="003904C4"/>
    <w:rsid w:val="003A637E"/>
    <w:rsid w:val="00432743"/>
    <w:rsid w:val="00457B15"/>
    <w:rsid w:val="0047269D"/>
    <w:rsid w:val="00523CD9"/>
    <w:rsid w:val="005436AD"/>
    <w:rsid w:val="00607F5D"/>
    <w:rsid w:val="0061628B"/>
    <w:rsid w:val="00653834"/>
    <w:rsid w:val="00666152"/>
    <w:rsid w:val="007A3BBA"/>
    <w:rsid w:val="00802E12"/>
    <w:rsid w:val="008A7658"/>
    <w:rsid w:val="008B7179"/>
    <w:rsid w:val="008C36F9"/>
    <w:rsid w:val="00902EFA"/>
    <w:rsid w:val="00930F46"/>
    <w:rsid w:val="00942D48"/>
    <w:rsid w:val="009474AA"/>
    <w:rsid w:val="009C6362"/>
    <w:rsid w:val="009F15E0"/>
    <w:rsid w:val="009F43B9"/>
    <w:rsid w:val="00A504A9"/>
    <w:rsid w:val="00AE21BB"/>
    <w:rsid w:val="00BC613E"/>
    <w:rsid w:val="00C345E0"/>
    <w:rsid w:val="00C34D08"/>
    <w:rsid w:val="00C91B6E"/>
    <w:rsid w:val="00D42DBC"/>
    <w:rsid w:val="00E16D68"/>
    <w:rsid w:val="00ED270E"/>
    <w:rsid w:val="00F46F4F"/>
    <w:rsid w:val="00F840B4"/>
    <w:rsid w:val="18050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widowControl w:val="0"/>
      <w:tabs>
        <w:tab w:val="center" w:pos="4153"/>
        <w:tab w:val="right" w:pos="8306"/>
      </w:tabs>
      <w:snapToGrid w:val="0"/>
      <w:spacing w:line="240" w:lineRule="auto"/>
      <w:jc w:val="left"/>
    </w:pPr>
    <w:rPr>
      <w:rFonts w:asciiTheme="minorHAnsi" w:hAnsiTheme="minorHAnsi" w:eastAsiaTheme="minorEastAsia" w:cstheme="minorBidi"/>
      <w:color w:val="auto"/>
      <w:kern w:val="2"/>
      <w:sz w:val="18"/>
      <w:szCs w:val="18"/>
    </w:rPr>
  </w:style>
  <w:style w:type="paragraph" w:styleId="3">
    <w:name w:val="header"/>
    <w:basedOn w:val="1"/>
    <w:link w:val="6"/>
    <w:unhideWhenUsed/>
    <w:qFormat/>
    <w:uiPriority w:val="0"/>
    <w:pPr>
      <w:widowControl w:val="0"/>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color w:val="auto"/>
      <w:kern w:val="2"/>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198</Words>
  <Characters>1129</Characters>
  <Lines>9</Lines>
  <Paragraphs>2</Paragraphs>
  <TotalTime>0</TotalTime>
  <ScaleCrop>false</ScaleCrop>
  <LinksUpToDate>false</LinksUpToDate>
  <CharactersWithSpaces>1325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2025-03-13T02:01:00Z</dcterms:created>
  <dc:creator>jyzcyjq</dc:creator>
  <cp:lastModifiedBy>Lenovo1</cp:lastModifiedBy>
  <dcterms:modified xsi:type="dcterms:W3CDTF">2025-06-27T08:40:23Z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