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456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FF0000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罪犯曹立刚，男，1977年12月26日出生，汉族，原户籍所在地河南省新野县，因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容留卖淫罪经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镇平县人民法院于2023年3月30日以（2023）豫1324刑初135号刑事判决书判处有期徒刑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年，并处罚金200000元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刑期自2022年11月17日起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至2028年10月9日止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于2023年5月8日送我狱服刑改造。服刑期间执行刑期变动情况:无。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零27</w:t>
      </w:r>
      <w:bookmarkStart w:id="0" w:name="_GoBack"/>
      <w:bookmarkEnd w:id="0"/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sz w:val="28"/>
          <w:szCs w:val="28"/>
          <w:u w:val="single"/>
          <w:lang w:eastAsia="zh-CN"/>
        </w:rPr>
        <w:t>辅助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24年2月8月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25年1月6月分别获得表扬奖励。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人员现场监督评审委员会评审活动程序，建议对罪犯曹立刚予以减刑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六个月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曹立刚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D057B9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C6129E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2025-09-12T07:07:06Z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