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）宛狱减字第486号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苏克龙</w:t>
      </w:r>
      <w:r>
        <w:rPr>
          <w:rFonts w:hint="eastAsia" w:ascii="楷体_GB2312" w:hAnsi="宋体" w:eastAsia="楷体_GB2312"/>
          <w:color w:val="auto"/>
          <w:szCs w:val="28"/>
        </w:rPr>
        <w:t>，男，</w:t>
      </w:r>
      <w:r>
        <w:rPr>
          <w:rFonts w:ascii="楷体_GB2312" w:eastAsia="楷体_GB2312"/>
          <w:color w:val="auto"/>
          <w:szCs w:val="28"/>
        </w:rPr>
        <w:t>1985年12月12日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河南省镇平县</w:t>
      </w:r>
      <w:r>
        <w:rPr>
          <w:rFonts w:hint="eastAsia" w:ascii="楷体_GB2312" w:hAnsi="宋体" w:eastAsia="楷体_GB2312"/>
          <w:color w:val="auto"/>
          <w:szCs w:val="28"/>
        </w:rPr>
        <w:t>。</w:t>
      </w:r>
      <w:r>
        <w:rPr>
          <w:rFonts w:ascii="楷体_GB2312" w:eastAsia="楷体_GB2312"/>
          <w:color w:val="auto"/>
          <w:szCs w:val="28"/>
        </w:rPr>
        <w:t>2021年11月8日河南省镇平县人民法院</w:t>
      </w:r>
      <w:r>
        <w:rPr>
          <w:rFonts w:hint="eastAsia" w:ascii="楷体_GB2312" w:eastAsia="楷体_GB2312"/>
          <w:color w:val="auto"/>
          <w:szCs w:val="28"/>
          <w:lang w:val="en-US" w:eastAsia="zh-CN"/>
        </w:rPr>
        <w:t>作出</w:t>
      </w:r>
      <w:r>
        <w:rPr>
          <w:rFonts w:ascii="楷体_GB2312" w:eastAsia="楷体_GB2312"/>
          <w:color w:val="auto"/>
          <w:szCs w:val="28"/>
        </w:rPr>
        <w:t>（2021）豫1324刑初713号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苏克龙犯</w:t>
      </w:r>
      <w:r>
        <w:rPr>
          <w:rFonts w:ascii="楷体_GB2312" w:eastAsia="楷体_GB2312"/>
          <w:color w:val="auto"/>
          <w:szCs w:val="28"/>
        </w:rPr>
        <w:t>强奸</w:t>
      </w:r>
      <w:r>
        <w:rPr>
          <w:rFonts w:hint="eastAsia" w:ascii="楷体_GB2312" w:eastAsia="楷体_GB2312"/>
          <w:color w:val="auto"/>
          <w:szCs w:val="28"/>
        </w:rPr>
        <w:t>罪，判处有期徒刑</w:t>
      </w:r>
      <w:r>
        <w:rPr>
          <w:rFonts w:ascii="楷体_GB2312" w:eastAsia="楷体_GB2312"/>
          <w:color w:val="auto"/>
          <w:szCs w:val="28"/>
        </w:rPr>
        <w:t>十年</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自2021年7月31日至2031年7月30日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2022年2月21日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5年10个月18天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合侧缝岗位上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2022年10月，2023年4月9月，2024年2月，2025年7月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5</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苏克龙</w:t>
      </w:r>
      <w:r>
        <w:rPr>
          <w:rFonts w:hint="eastAsia" w:ascii="楷体_GB2312" w:eastAsia="楷体_GB2312"/>
          <w:color w:val="auto"/>
          <w:szCs w:val="28"/>
        </w:rPr>
        <w:t>予以减刑</w:t>
      </w:r>
      <w:r>
        <w:rPr>
          <w:rFonts w:hint="eastAsia" w:ascii="楷体_GB2312" w:eastAsia="楷体_GB2312"/>
          <w:color w:val="auto"/>
          <w:szCs w:val="28"/>
          <w:u w:val="single"/>
        </w:rPr>
        <w:t>五个月</w:t>
      </w:r>
      <w:r>
        <w:rPr>
          <w:rFonts w:hint="eastAsia" w:ascii="楷体_GB2312" w:eastAsia="楷体_GB2312"/>
          <w:color w:val="auto"/>
          <w:szCs w:val="28"/>
        </w:rPr>
        <w:t>，特提请裁定。</w:t>
      </w:r>
    </w:p>
    <w:p>
      <w:pPr>
        <w:spacing w:line="540" w:lineRule="exact"/>
        <w:ind w:firstLine="420" w:firstLineChars="15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苏克龙</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vert="horz" wrap="none" anchor="t" anchorCtr="0" upright="1">
                        <a:spAutoFit/>
                      </wps:bodyPr>
                    </wps:wsp>
                  </a:graphicData>
                </a:graphic>
              </wp:anchor>
            </w:drawing>
          </mc:Choice>
          <mc:Fallback>
            <w:pict>
              <v:shape id="文本框 2" o:spid="_x0000_s1026" o:spt="202" type="#_x0000_t202" style="position:absolute;left:0pt;margin-left:0pt;margin-top:728.25pt;height:144pt;width:144pt;mso-position-vertical-relative:page;mso-wrap-style:none;z-index:251658240;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l5A&#10;YtUAAAAKAQAADwAAAAAAAAABACAAAAAiAAAAZHJzL2Rvd25yZXYueG1sUEsBAhQAFAAAAAgAh07i&#10;QLsYemWzAQAATAMAAA4AAAAAAAAAAQAgAAAAJAEAAGRycy9lMm9Eb2MueG1sUEsFBgAAAAAGAAYA&#10;WQEAAEk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苏克龙</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66F49"/>
    <w:rsid w:val="6B46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2025-09-13T05:59:47Z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